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8E781C" w:rsidRDefault="00085C75" w:rsidP="003204AA">
      <w:pPr>
        <w:pStyle w:val="MBT"/>
        <w:rPr>
          <w:rFonts w:eastAsia="Calibri"/>
          <w:lang w:val="en-GB"/>
        </w:rPr>
        <w:sectPr w:rsidR="00F85DFD" w:rsidRPr="008E781C" w:rsidSect="00351E21">
          <w:footerReference w:type="first" r:id="rId8"/>
          <w:type w:val="continuous"/>
          <w:pgSz w:w="11906" w:h="16838" w:code="9"/>
          <w:pgMar w:top="720" w:right="720" w:bottom="720" w:left="720" w:header="709" w:footer="709" w:gutter="0"/>
          <w:cols w:space="708"/>
          <w:docGrid w:linePitch="360"/>
        </w:sectPr>
      </w:pPr>
      <w:r w:rsidRPr="008E781C">
        <w:rPr>
          <w:rFonts w:eastAsia="Calibri"/>
          <w:noProof/>
          <w:lang w:val="fr-BE"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8E781C" w:rsidRPr="00590213" w:rsidRDefault="008E781C"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8E781C" w:rsidRPr="00B35152" w:rsidRDefault="008E781C"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5F22C15A" w:rsidR="008E781C" w:rsidRPr="00590213" w:rsidRDefault="008E781C"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Spain</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8E781C" w:rsidRPr="001D7DA5" w:rsidRDefault="008E781C"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8E781C" w:rsidRPr="00BB78FE" w:rsidRDefault="008E781C"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8E781C" w:rsidRPr="00590213" w:rsidRDefault="008E781C"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8E781C" w:rsidRPr="00B35152" w:rsidRDefault="008E781C"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5F22C15A" w:rsidR="008E781C" w:rsidRPr="00590213" w:rsidRDefault="008E781C"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Spain</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8E781C" w:rsidRPr="001D7DA5" w:rsidRDefault="008E781C"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8E781C" w:rsidRPr="00BB78FE" w:rsidRDefault="008E781C" w:rsidP="008652C9">
                        <w:pPr>
                          <w:jc w:val="right"/>
                          <w:rPr>
                            <w:rFonts w:ascii="Century Gothic" w:hAnsi="Century Gothic"/>
                            <w:i/>
                          </w:rPr>
                        </w:pPr>
                      </w:p>
                    </w:txbxContent>
                  </v:textbox>
                </v:shape>
              </v:group>
            </w:pict>
          </mc:Fallback>
        </mc:AlternateContent>
      </w:r>
      <w:r w:rsidR="006366BB" w:rsidRPr="008E781C">
        <w:rPr>
          <w:rFonts w:eastAsia="Calibri"/>
          <w:noProof/>
          <w:lang w:val="fr-BE"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8E781C">
        <w:rPr>
          <w:rFonts w:eastAsia="Calibri"/>
          <w:noProof/>
          <w:lang w:val="fr-BE"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5AC8D0F1" w:rsidR="008E781C" w:rsidRPr="00400DE5" w:rsidRDefault="008E781C" w:rsidP="00F85DFD">
                            <w:pPr>
                              <w:ind w:right="-126"/>
                              <w:rPr>
                                <w:rFonts w:ascii="Century Gothic" w:hAnsi="Century Gothic"/>
                                <w:lang w:val="en-US"/>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5AC8D0F1" w:rsidR="008E781C" w:rsidRPr="00400DE5" w:rsidRDefault="008E781C" w:rsidP="00F85DFD">
                      <w:pPr>
                        <w:ind w:right="-126"/>
                        <w:rPr>
                          <w:rFonts w:ascii="Century Gothic" w:hAnsi="Century Gothic"/>
                          <w:lang w:val="en-US"/>
                        </w:rPr>
                      </w:pPr>
                      <w:r>
                        <w:rPr>
                          <w:rFonts w:ascii="Century Gothic" w:hAnsi="Century Gothic" w:cs="Arial"/>
                          <w:lang w:val="en-US"/>
                        </w:rPr>
                        <w:t>June 2018</w:t>
                      </w:r>
                    </w:p>
                  </w:txbxContent>
                </v:textbox>
                <w10:wrap anchory="page"/>
                <w10:anchorlock/>
              </v:shape>
            </w:pict>
          </mc:Fallback>
        </mc:AlternateContent>
      </w:r>
    </w:p>
    <w:p w14:paraId="37CD6763" w14:textId="1CD68DDD" w:rsidR="008934CD" w:rsidRPr="008E781C" w:rsidRDefault="00B12297" w:rsidP="001F14FD">
      <w:pPr>
        <w:rPr>
          <w:b/>
          <w:u w:val="single"/>
        </w:rPr>
      </w:pPr>
      <w:r w:rsidRPr="008E781C">
        <w:rPr>
          <w:noProof/>
          <w:sz w:val="22"/>
          <w:lang w:val="fr-BE"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8E781C" w:rsidRDefault="00920899" w:rsidP="009F4BC9">
      <w:pPr>
        <w:pStyle w:val="BlockText"/>
        <w:rPr>
          <w:sz w:val="22"/>
          <w:lang w:val="en-GB"/>
        </w:rPr>
        <w:sectPr w:rsidR="00920899" w:rsidRPr="008E781C"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10516"/>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040"/>
      </w:tblGrid>
      <w:tr w:rsidR="00CF6F46" w:rsidRPr="008E781C" w14:paraId="4A92856B" w14:textId="77777777" w:rsidTr="00341676">
        <w:tc>
          <w:tcPr>
            <w:tcW w:w="0" w:type="auto"/>
            <w:tcMar>
              <w:top w:w="0" w:type="dxa"/>
              <w:left w:w="108" w:type="dxa"/>
              <w:bottom w:w="0" w:type="dxa"/>
              <w:right w:w="108" w:type="dxa"/>
            </w:tcMar>
            <w:vAlign w:val="bottom"/>
            <w:hideMark/>
          </w:tcPr>
          <w:p w14:paraId="17110515" w14:textId="77777777" w:rsidR="00CF6F46" w:rsidRPr="008E781C" w:rsidRDefault="00CF6F46" w:rsidP="00341676">
            <w:pPr>
              <w:pStyle w:val="xmsonormal"/>
              <w:widowControl w:val="0"/>
              <w:ind w:left="340" w:right="340"/>
              <w:jc w:val="both"/>
              <w:rPr>
                <w:sz w:val="22"/>
                <w:szCs w:val="18"/>
              </w:rPr>
            </w:pPr>
          </w:p>
          <w:p w14:paraId="02FCAB4F" w14:textId="3DE245CA" w:rsidR="00CF6F46" w:rsidRPr="008E781C" w:rsidRDefault="00CF6F46" w:rsidP="00341676">
            <w:pPr>
              <w:pStyle w:val="xmsonormal"/>
              <w:widowControl w:val="0"/>
              <w:ind w:left="340" w:right="340"/>
              <w:jc w:val="both"/>
              <w:rPr>
                <w:sz w:val="22"/>
                <w:szCs w:val="18"/>
              </w:rPr>
            </w:pPr>
            <w:r w:rsidRPr="008E781C">
              <w:rPr>
                <w:sz w:val="22"/>
                <w:szCs w:val="18"/>
              </w:rPr>
              <w:t>This Report has been prepared by Ana Gómez Rojo</w:t>
            </w:r>
            <w:r w:rsidR="00CC15CC">
              <w:rPr>
                <w:sz w:val="22"/>
                <w:szCs w:val="18"/>
              </w:rPr>
              <w:t xml:space="preserve"> with</w:t>
            </w:r>
            <w:r w:rsidR="008E781C">
              <w:rPr>
                <w:sz w:val="22"/>
                <w:szCs w:val="18"/>
              </w:rPr>
              <w:t xml:space="preserve"> the support of Iv</w:t>
            </w:r>
            <w:r w:rsidR="008E781C" w:rsidRPr="008E781C">
              <w:rPr>
                <w:sz w:val="22"/>
                <w:szCs w:val="18"/>
              </w:rPr>
              <w:t>án Mart</w:t>
            </w:r>
            <w:r w:rsidR="008E781C">
              <w:rPr>
                <w:sz w:val="22"/>
                <w:szCs w:val="18"/>
              </w:rPr>
              <w:t>ínez Bris</w:t>
            </w:r>
            <w:r w:rsidRPr="008E781C">
              <w:rPr>
                <w:sz w:val="22"/>
                <w:szCs w:val="18"/>
              </w:rPr>
              <w:t xml:space="preserve"> for Milieu Ltd under the contract JUST/2016/RCIT/FW/RIGH/0152 (2017/06). </w:t>
            </w:r>
          </w:p>
          <w:p w14:paraId="32449D6A" w14:textId="77777777" w:rsidR="00CF6F46" w:rsidRPr="008E781C" w:rsidRDefault="00CF6F46" w:rsidP="00341676">
            <w:pPr>
              <w:pStyle w:val="xmsonormal"/>
              <w:widowControl w:val="0"/>
              <w:ind w:left="340" w:right="340"/>
              <w:jc w:val="both"/>
              <w:rPr>
                <w:sz w:val="22"/>
                <w:szCs w:val="18"/>
              </w:rPr>
            </w:pPr>
          </w:p>
          <w:p w14:paraId="0D57A954" w14:textId="77777777" w:rsidR="00CF6F46" w:rsidRPr="008E781C" w:rsidRDefault="00CF6F46" w:rsidP="00341676">
            <w:pPr>
              <w:pStyle w:val="xmsonormal"/>
              <w:widowControl w:val="0"/>
              <w:ind w:left="340" w:right="340"/>
              <w:jc w:val="both"/>
              <w:rPr>
                <w:sz w:val="22"/>
                <w:szCs w:val="18"/>
              </w:rPr>
            </w:pPr>
            <w:r w:rsidRPr="008E781C">
              <w:rPr>
                <w:sz w:val="22"/>
                <w:szCs w:val="18"/>
              </w:rPr>
              <w:t xml:space="preserve">The views expressed herein are those of the consultants alone and do not necessarily represent the official views of the European Commission. </w:t>
            </w:r>
          </w:p>
          <w:p w14:paraId="7707C05F" w14:textId="77777777" w:rsidR="00CF6F46" w:rsidRPr="008E781C" w:rsidRDefault="00CF6F46" w:rsidP="00341676">
            <w:pPr>
              <w:pStyle w:val="xmsonormal"/>
              <w:widowControl w:val="0"/>
              <w:ind w:right="340"/>
              <w:jc w:val="both"/>
              <w:rPr>
                <w:sz w:val="22"/>
                <w:szCs w:val="18"/>
              </w:rPr>
            </w:pPr>
          </w:p>
          <w:p w14:paraId="7F6BF9F0" w14:textId="77777777" w:rsidR="00CF6F46" w:rsidRPr="008E781C" w:rsidRDefault="00CF6F46" w:rsidP="00341676">
            <w:pPr>
              <w:pStyle w:val="xmsonormal"/>
              <w:widowControl w:val="0"/>
              <w:ind w:left="340" w:right="340"/>
              <w:jc w:val="both"/>
              <w:rPr>
                <w:sz w:val="22"/>
                <w:szCs w:val="18"/>
              </w:rPr>
            </w:pPr>
            <w:r w:rsidRPr="008E781C">
              <w:rPr>
                <w:b/>
                <w:bCs/>
                <w:sz w:val="22"/>
                <w:szCs w:val="18"/>
              </w:rPr>
              <w:t>Milieu Ltd</w:t>
            </w:r>
            <w:r w:rsidRPr="008E781C">
              <w:rPr>
                <w:sz w:val="22"/>
                <w:szCs w:val="18"/>
              </w:rPr>
              <w:t xml:space="preserve"> (Belgium), Chaussée de Charleroi 112, B-1060 Brussels, tel.: +32 2 506 1000; e-mail: </w:t>
            </w:r>
            <w:hyperlink r:id="rId11" w:history="1">
              <w:r w:rsidRPr="008E781C">
                <w:rPr>
                  <w:rStyle w:val="Hyperlink"/>
                  <w:sz w:val="22"/>
                  <w:szCs w:val="18"/>
                </w:rPr>
                <w:t>emma.psaila@milieu.be</w:t>
              </w:r>
            </w:hyperlink>
            <w:r w:rsidRPr="008E781C">
              <w:rPr>
                <w:sz w:val="22"/>
                <w:szCs w:val="18"/>
              </w:rPr>
              <w:t xml:space="preserve">; </w:t>
            </w:r>
            <w:hyperlink r:id="rId12" w:history="1">
              <w:r w:rsidRPr="008E781C">
                <w:rPr>
                  <w:rStyle w:val="Hyperlink"/>
                  <w:sz w:val="22"/>
                  <w:szCs w:val="18"/>
                </w:rPr>
                <w:t>ana.gomez@milieu.be</w:t>
              </w:r>
            </w:hyperlink>
            <w:r w:rsidRPr="008E781C">
              <w:rPr>
                <w:sz w:val="22"/>
                <w:szCs w:val="18"/>
              </w:rPr>
              <w:t xml:space="preserve"> and </w:t>
            </w:r>
            <w:hyperlink r:id="rId13" w:history="1">
              <w:r w:rsidRPr="008E781C">
                <w:rPr>
                  <w:rStyle w:val="Hyperlink"/>
                  <w:sz w:val="22"/>
                  <w:szCs w:val="18"/>
                </w:rPr>
                <w:t>vanessa.leigh@milieu.be</w:t>
              </w:r>
            </w:hyperlink>
            <w:r w:rsidRPr="008E781C">
              <w:rPr>
                <w:sz w:val="22"/>
                <w:szCs w:val="18"/>
              </w:rPr>
              <w:t xml:space="preserve">; web address: </w:t>
            </w:r>
            <w:hyperlink r:id="rId14" w:history="1">
              <w:r w:rsidRPr="008E781C">
                <w:rPr>
                  <w:rStyle w:val="Hyperlink"/>
                  <w:sz w:val="22"/>
                  <w:szCs w:val="18"/>
                </w:rPr>
                <w:t>www.milieu.be</w:t>
              </w:r>
            </w:hyperlink>
            <w:r w:rsidRPr="008E781C">
              <w:rPr>
                <w:sz w:val="22"/>
                <w:szCs w:val="18"/>
              </w:rPr>
              <w:t xml:space="preserve">. </w:t>
            </w:r>
          </w:p>
          <w:p w14:paraId="6C606F16" w14:textId="77777777" w:rsidR="00CF6F46" w:rsidRPr="008E781C" w:rsidRDefault="00CF6F46" w:rsidP="00341676">
            <w:pPr>
              <w:pStyle w:val="xmsonormal"/>
              <w:widowControl w:val="0"/>
              <w:ind w:right="340"/>
              <w:rPr>
                <w:sz w:val="22"/>
                <w:szCs w:val="18"/>
              </w:rPr>
            </w:pPr>
          </w:p>
        </w:tc>
      </w:tr>
    </w:tbl>
    <w:p w14:paraId="710B8F0C" w14:textId="77777777" w:rsidR="001F14FD" w:rsidRPr="008E781C" w:rsidRDefault="001F14FD" w:rsidP="001F14FD">
      <w:pPr>
        <w:rPr>
          <w:b/>
          <w:i/>
          <w:sz w:val="22"/>
        </w:rPr>
      </w:pPr>
      <w:r w:rsidRPr="008E781C">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8E781C" w14:paraId="19F2D135" w14:textId="77777777" w:rsidTr="006F2F47">
        <w:tc>
          <w:tcPr>
            <w:tcW w:w="5000" w:type="pct"/>
            <w:shd w:val="clear" w:color="auto" w:fill="auto"/>
            <w:vAlign w:val="center"/>
          </w:tcPr>
          <w:p w14:paraId="637BA842" w14:textId="740EFDA4" w:rsidR="00F64DD1" w:rsidRPr="008E781C" w:rsidRDefault="00F53B5D" w:rsidP="00F97EDE">
            <w:pPr>
              <w:ind w:right="-126"/>
              <w:jc w:val="center"/>
              <w:rPr>
                <w:rFonts w:ascii="Century Gothic" w:hAnsi="Century Gothic" w:cs="Arial"/>
                <w:b/>
                <w:i/>
                <w:color w:val="7AB800" w:themeColor="text2"/>
                <w:sz w:val="28"/>
                <w:szCs w:val="28"/>
              </w:rPr>
            </w:pPr>
            <w:r w:rsidRPr="008E781C">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8E781C" w:rsidRDefault="001F14FD" w:rsidP="001F14FD">
      <w:pPr>
        <w:rPr>
          <w:b/>
          <w:sz w:val="22"/>
          <w:szCs w:val="22"/>
        </w:rPr>
      </w:pPr>
    </w:p>
    <w:p w14:paraId="173B0A5B" w14:textId="77777777" w:rsidR="00F90C45" w:rsidRPr="008E781C" w:rsidRDefault="00F90C45" w:rsidP="001F14FD">
      <w:pPr>
        <w:rPr>
          <w:b/>
          <w:sz w:val="22"/>
          <w:szCs w:val="22"/>
        </w:rPr>
      </w:pPr>
    </w:p>
    <w:p w14:paraId="4F08FF81" w14:textId="77777777" w:rsidR="00E82864" w:rsidRPr="008E781C" w:rsidRDefault="00F90C45" w:rsidP="001F14FD">
      <w:pPr>
        <w:rPr>
          <w:rFonts w:ascii="Century Gothic" w:hAnsi="Century Gothic"/>
          <w:b/>
          <w:sz w:val="22"/>
          <w:szCs w:val="22"/>
        </w:rPr>
      </w:pPr>
      <w:r w:rsidRPr="008E781C">
        <w:rPr>
          <w:rFonts w:ascii="Century Gothic" w:hAnsi="Century Gothic"/>
          <w:b/>
          <w:sz w:val="22"/>
          <w:szCs w:val="22"/>
        </w:rPr>
        <w:t>TABLE OF CONTENTS</w:t>
      </w:r>
    </w:p>
    <w:p w14:paraId="273EC56A" w14:textId="77777777" w:rsidR="00F90C45" w:rsidRPr="008E781C" w:rsidRDefault="00F90C45" w:rsidP="001F14FD">
      <w:pPr>
        <w:rPr>
          <w:rFonts w:ascii="Century Gothic" w:hAnsi="Century Gothic"/>
          <w:b/>
          <w:sz w:val="22"/>
          <w:szCs w:val="22"/>
        </w:rPr>
      </w:pPr>
    </w:p>
    <w:p w14:paraId="2E284D46" w14:textId="77777777" w:rsidR="00F90C45" w:rsidRPr="008E781C"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30C8C3AF" w14:textId="47788A48" w:rsidR="002000B4" w:rsidRPr="008E781C" w:rsidRDefault="00F90C45">
          <w:pPr>
            <w:pStyle w:val="TOC1"/>
            <w:rPr>
              <w:rFonts w:asciiTheme="minorHAnsi" w:eastAsiaTheme="minorEastAsia" w:hAnsiTheme="minorHAnsi" w:cstheme="minorBidi"/>
              <w:b w:val="0"/>
              <w:bCs w:val="0"/>
              <w:caps w:val="0"/>
              <w:lang w:eastAsia="en-GB"/>
            </w:rPr>
          </w:pPr>
          <w:r w:rsidRPr="008E781C">
            <w:fldChar w:fldCharType="begin"/>
          </w:r>
          <w:r w:rsidRPr="008E781C">
            <w:instrText xml:space="preserve"> TOC \o "1-3" \h \z \u </w:instrText>
          </w:r>
          <w:r w:rsidRPr="008E781C">
            <w:fldChar w:fldCharType="separate"/>
          </w:r>
          <w:hyperlink w:anchor="_Toc520923925" w:history="1">
            <w:r w:rsidR="002000B4" w:rsidRPr="008E781C">
              <w:rPr>
                <w:rStyle w:val="Hyperlink"/>
              </w:rPr>
              <w:t>I.</w:t>
            </w:r>
            <w:r w:rsidR="002000B4" w:rsidRPr="008E781C">
              <w:rPr>
                <w:rFonts w:asciiTheme="minorHAnsi" w:eastAsiaTheme="minorEastAsia" w:hAnsiTheme="minorHAnsi" w:cstheme="minorBidi"/>
                <w:b w:val="0"/>
                <w:bCs w:val="0"/>
                <w:caps w:val="0"/>
                <w:lang w:eastAsia="en-GB"/>
              </w:rPr>
              <w:tab/>
            </w:r>
            <w:r w:rsidR="002000B4" w:rsidRPr="008E781C">
              <w:rPr>
                <w:rStyle w:val="Hyperlink"/>
              </w:rPr>
              <w:t>GENERAL BACKGROUND</w:t>
            </w:r>
            <w:r w:rsidR="002000B4" w:rsidRPr="008E781C">
              <w:rPr>
                <w:webHidden/>
              </w:rPr>
              <w:tab/>
            </w:r>
            <w:r w:rsidR="002000B4" w:rsidRPr="008E781C">
              <w:rPr>
                <w:webHidden/>
              </w:rPr>
              <w:fldChar w:fldCharType="begin"/>
            </w:r>
            <w:r w:rsidR="002000B4" w:rsidRPr="008E781C">
              <w:rPr>
                <w:webHidden/>
              </w:rPr>
              <w:instrText xml:space="preserve"> PAGEREF _Toc520923925 \h </w:instrText>
            </w:r>
            <w:r w:rsidR="002000B4" w:rsidRPr="008E781C">
              <w:rPr>
                <w:webHidden/>
              </w:rPr>
            </w:r>
            <w:r w:rsidR="002000B4" w:rsidRPr="008E781C">
              <w:rPr>
                <w:webHidden/>
              </w:rPr>
              <w:fldChar w:fldCharType="separate"/>
            </w:r>
            <w:r w:rsidR="00EC4DF9">
              <w:rPr>
                <w:webHidden/>
              </w:rPr>
              <w:t>1</w:t>
            </w:r>
            <w:r w:rsidR="002000B4" w:rsidRPr="008E781C">
              <w:rPr>
                <w:webHidden/>
              </w:rPr>
              <w:fldChar w:fldCharType="end"/>
            </w:r>
          </w:hyperlink>
        </w:p>
        <w:p w14:paraId="2107DE21" w14:textId="2348CC3D" w:rsidR="002000B4" w:rsidRPr="008E781C" w:rsidRDefault="00626E2C">
          <w:pPr>
            <w:pStyle w:val="TOC1"/>
            <w:rPr>
              <w:rFonts w:asciiTheme="minorHAnsi" w:eastAsiaTheme="minorEastAsia" w:hAnsiTheme="minorHAnsi" w:cstheme="minorBidi"/>
              <w:b w:val="0"/>
              <w:bCs w:val="0"/>
              <w:caps w:val="0"/>
              <w:lang w:eastAsia="en-GB"/>
            </w:rPr>
          </w:pPr>
          <w:hyperlink w:anchor="_Toc520923926" w:history="1">
            <w:r w:rsidR="002000B4" w:rsidRPr="008E781C">
              <w:rPr>
                <w:rStyle w:val="Hyperlink"/>
              </w:rPr>
              <w:t>II.</w:t>
            </w:r>
            <w:r w:rsidR="002000B4" w:rsidRPr="008E781C">
              <w:rPr>
                <w:rFonts w:asciiTheme="minorHAnsi" w:eastAsiaTheme="minorEastAsia" w:hAnsiTheme="minorHAnsi" w:cstheme="minorBidi"/>
                <w:b w:val="0"/>
                <w:bCs w:val="0"/>
                <w:caps w:val="0"/>
                <w:lang w:eastAsia="en-GB"/>
              </w:rPr>
              <w:tab/>
            </w:r>
            <w:r w:rsidR="002000B4" w:rsidRPr="008E781C">
              <w:rPr>
                <w:rStyle w:val="Hyperlink"/>
              </w:rPr>
              <w:t>PROCEDURES, COMPETENT AUTHORITIES AND APPLICABLE CRITERIA</w:t>
            </w:r>
            <w:r w:rsidR="002000B4" w:rsidRPr="008E781C">
              <w:rPr>
                <w:webHidden/>
              </w:rPr>
              <w:tab/>
            </w:r>
            <w:r w:rsidR="002000B4" w:rsidRPr="008E781C">
              <w:rPr>
                <w:webHidden/>
              </w:rPr>
              <w:fldChar w:fldCharType="begin"/>
            </w:r>
            <w:r w:rsidR="002000B4" w:rsidRPr="008E781C">
              <w:rPr>
                <w:webHidden/>
              </w:rPr>
              <w:instrText xml:space="preserve"> PAGEREF _Toc520923926 \h </w:instrText>
            </w:r>
            <w:r w:rsidR="002000B4" w:rsidRPr="008E781C">
              <w:rPr>
                <w:webHidden/>
              </w:rPr>
            </w:r>
            <w:r w:rsidR="002000B4" w:rsidRPr="008E781C">
              <w:rPr>
                <w:webHidden/>
              </w:rPr>
              <w:fldChar w:fldCharType="separate"/>
            </w:r>
            <w:r w:rsidR="00EC4DF9">
              <w:rPr>
                <w:webHidden/>
              </w:rPr>
              <w:t>6</w:t>
            </w:r>
            <w:r w:rsidR="002000B4" w:rsidRPr="008E781C">
              <w:rPr>
                <w:webHidden/>
              </w:rPr>
              <w:fldChar w:fldCharType="end"/>
            </w:r>
          </w:hyperlink>
        </w:p>
        <w:p w14:paraId="45E14B64" w14:textId="0EED6C7A" w:rsidR="002000B4" w:rsidRPr="008E781C" w:rsidRDefault="00626E2C">
          <w:pPr>
            <w:pStyle w:val="TOC1"/>
            <w:rPr>
              <w:rFonts w:asciiTheme="minorHAnsi" w:eastAsiaTheme="minorEastAsia" w:hAnsiTheme="minorHAnsi" w:cstheme="minorBidi"/>
              <w:b w:val="0"/>
              <w:bCs w:val="0"/>
              <w:caps w:val="0"/>
              <w:lang w:eastAsia="en-GB"/>
            </w:rPr>
          </w:pPr>
          <w:hyperlink w:anchor="_Toc520923927" w:history="1">
            <w:r w:rsidR="002000B4" w:rsidRPr="008E781C">
              <w:rPr>
                <w:rStyle w:val="Hyperlink"/>
              </w:rPr>
              <w:t>1</w:t>
            </w:r>
            <w:r w:rsidR="002000B4" w:rsidRPr="008E781C">
              <w:rPr>
                <w:rFonts w:asciiTheme="minorHAnsi" w:eastAsiaTheme="minorEastAsia" w:hAnsiTheme="minorHAnsi" w:cstheme="minorBidi"/>
                <w:b w:val="0"/>
                <w:bCs w:val="0"/>
                <w:caps w:val="0"/>
                <w:lang w:eastAsia="en-GB"/>
              </w:rPr>
              <w:tab/>
            </w:r>
            <w:r w:rsidR="002000B4" w:rsidRPr="008E781C">
              <w:rPr>
                <w:rStyle w:val="Hyperlink"/>
              </w:rPr>
              <w:t>Application Phase</w:t>
            </w:r>
            <w:r w:rsidR="002000B4" w:rsidRPr="008E781C">
              <w:rPr>
                <w:webHidden/>
              </w:rPr>
              <w:tab/>
            </w:r>
            <w:r w:rsidR="002000B4" w:rsidRPr="008E781C">
              <w:rPr>
                <w:webHidden/>
              </w:rPr>
              <w:fldChar w:fldCharType="begin"/>
            </w:r>
            <w:r w:rsidR="002000B4" w:rsidRPr="008E781C">
              <w:rPr>
                <w:webHidden/>
              </w:rPr>
              <w:instrText xml:space="preserve"> PAGEREF _Toc520923927 \h </w:instrText>
            </w:r>
            <w:r w:rsidR="002000B4" w:rsidRPr="008E781C">
              <w:rPr>
                <w:webHidden/>
              </w:rPr>
            </w:r>
            <w:r w:rsidR="002000B4" w:rsidRPr="008E781C">
              <w:rPr>
                <w:webHidden/>
              </w:rPr>
              <w:fldChar w:fldCharType="separate"/>
            </w:r>
            <w:r w:rsidR="00EC4DF9">
              <w:rPr>
                <w:webHidden/>
              </w:rPr>
              <w:t>6</w:t>
            </w:r>
            <w:r w:rsidR="002000B4" w:rsidRPr="008E781C">
              <w:rPr>
                <w:webHidden/>
              </w:rPr>
              <w:fldChar w:fldCharType="end"/>
            </w:r>
          </w:hyperlink>
        </w:p>
        <w:p w14:paraId="6F160607" w14:textId="13AA7F0C" w:rsidR="002000B4" w:rsidRPr="008E781C" w:rsidRDefault="00626E2C">
          <w:pPr>
            <w:pStyle w:val="TOC1"/>
            <w:rPr>
              <w:rFonts w:asciiTheme="minorHAnsi" w:eastAsiaTheme="minorEastAsia" w:hAnsiTheme="minorHAnsi" w:cstheme="minorBidi"/>
              <w:b w:val="0"/>
              <w:bCs w:val="0"/>
              <w:caps w:val="0"/>
              <w:lang w:eastAsia="en-GB"/>
            </w:rPr>
          </w:pPr>
          <w:hyperlink w:anchor="_Toc520923928" w:history="1">
            <w:r w:rsidR="002000B4" w:rsidRPr="008E781C">
              <w:rPr>
                <w:rStyle w:val="Hyperlink"/>
              </w:rPr>
              <w:t>2</w:t>
            </w:r>
            <w:r w:rsidR="002000B4" w:rsidRPr="008E781C">
              <w:rPr>
                <w:rFonts w:asciiTheme="minorHAnsi" w:eastAsiaTheme="minorEastAsia" w:hAnsiTheme="minorHAnsi" w:cstheme="minorBidi"/>
                <w:b w:val="0"/>
                <w:bCs w:val="0"/>
                <w:caps w:val="0"/>
                <w:lang w:eastAsia="en-GB"/>
              </w:rPr>
              <w:tab/>
            </w:r>
            <w:r w:rsidR="002000B4" w:rsidRPr="008E781C">
              <w:rPr>
                <w:rStyle w:val="Hyperlink"/>
              </w:rPr>
              <w:t>Type of investment</w:t>
            </w:r>
            <w:r w:rsidR="002000B4" w:rsidRPr="008E781C">
              <w:rPr>
                <w:webHidden/>
              </w:rPr>
              <w:tab/>
            </w:r>
            <w:r w:rsidR="002000B4" w:rsidRPr="008E781C">
              <w:rPr>
                <w:webHidden/>
              </w:rPr>
              <w:fldChar w:fldCharType="begin"/>
            </w:r>
            <w:r w:rsidR="002000B4" w:rsidRPr="008E781C">
              <w:rPr>
                <w:webHidden/>
              </w:rPr>
              <w:instrText xml:space="preserve"> PAGEREF _Toc520923928 \h </w:instrText>
            </w:r>
            <w:r w:rsidR="002000B4" w:rsidRPr="008E781C">
              <w:rPr>
                <w:webHidden/>
              </w:rPr>
            </w:r>
            <w:r w:rsidR="002000B4" w:rsidRPr="008E781C">
              <w:rPr>
                <w:webHidden/>
              </w:rPr>
              <w:fldChar w:fldCharType="separate"/>
            </w:r>
            <w:r w:rsidR="00EC4DF9">
              <w:rPr>
                <w:webHidden/>
              </w:rPr>
              <w:t>21</w:t>
            </w:r>
            <w:r w:rsidR="002000B4" w:rsidRPr="008E781C">
              <w:rPr>
                <w:webHidden/>
              </w:rPr>
              <w:fldChar w:fldCharType="end"/>
            </w:r>
          </w:hyperlink>
        </w:p>
        <w:p w14:paraId="3AF23E6B" w14:textId="09FBB2DB" w:rsidR="002000B4" w:rsidRPr="008E781C" w:rsidRDefault="00626E2C">
          <w:pPr>
            <w:pStyle w:val="TOC1"/>
            <w:rPr>
              <w:rFonts w:asciiTheme="minorHAnsi" w:eastAsiaTheme="minorEastAsia" w:hAnsiTheme="minorHAnsi" w:cstheme="minorBidi"/>
              <w:b w:val="0"/>
              <w:bCs w:val="0"/>
              <w:caps w:val="0"/>
              <w:lang w:eastAsia="en-GB"/>
            </w:rPr>
          </w:pPr>
          <w:hyperlink w:anchor="_Toc520923929" w:history="1">
            <w:r w:rsidR="002000B4" w:rsidRPr="008E781C">
              <w:rPr>
                <w:rStyle w:val="Hyperlink"/>
              </w:rPr>
              <w:t>3</w:t>
            </w:r>
            <w:r w:rsidR="002000B4" w:rsidRPr="008E781C">
              <w:rPr>
                <w:rFonts w:asciiTheme="minorHAnsi" w:eastAsiaTheme="minorEastAsia" w:hAnsiTheme="minorHAnsi" w:cstheme="minorBidi"/>
                <w:b w:val="0"/>
                <w:bCs w:val="0"/>
                <w:caps w:val="0"/>
                <w:lang w:eastAsia="en-GB"/>
              </w:rPr>
              <w:tab/>
            </w:r>
            <w:r w:rsidR="002000B4" w:rsidRPr="008E781C">
              <w:rPr>
                <w:rStyle w:val="Hyperlink"/>
              </w:rPr>
              <w:t>Residence Phase</w:t>
            </w:r>
            <w:r w:rsidR="002000B4" w:rsidRPr="008E781C">
              <w:rPr>
                <w:webHidden/>
              </w:rPr>
              <w:tab/>
            </w:r>
            <w:r w:rsidR="002000B4" w:rsidRPr="008E781C">
              <w:rPr>
                <w:webHidden/>
              </w:rPr>
              <w:fldChar w:fldCharType="begin"/>
            </w:r>
            <w:r w:rsidR="002000B4" w:rsidRPr="008E781C">
              <w:rPr>
                <w:webHidden/>
              </w:rPr>
              <w:instrText xml:space="preserve"> PAGEREF _Toc520923929 \h </w:instrText>
            </w:r>
            <w:r w:rsidR="002000B4" w:rsidRPr="008E781C">
              <w:rPr>
                <w:webHidden/>
              </w:rPr>
            </w:r>
            <w:r w:rsidR="002000B4" w:rsidRPr="008E781C">
              <w:rPr>
                <w:webHidden/>
              </w:rPr>
              <w:fldChar w:fldCharType="separate"/>
            </w:r>
            <w:r w:rsidR="00EC4DF9">
              <w:rPr>
                <w:webHidden/>
              </w:rPr>
              <w:t>27</w:t>
            </w:r>
            <w:r w:rsidR="002000B4" w:rsidRPr="008E781C">
              <w:rPr>
                <w:webHidden/>
              </w:rPr>
              <w:fldChar w:fldCharType="end"/>
            </w:r>
          </w:hyperlink>
        </w:p>
        <w:p w14:paraId="7A515CB8" w14:textId="2DBB88A9" w:rsidR="002000B4" w:rsidRPr="008E781C" w:rsidRDefault="00626E2C">
          <w:pPr>
            <w:pStyle w:val="TOC1"/>
            <w:rPr>
              <w:rFonts w:asciiTheme="minorHAnsi" w:eastAsiaTheme="minorEastAsia" w:hAnsiTheme="minorHAnsi" w:cstheme="minorBidi"/>
              <w:b w:val="0"/>
              <w:bCs w:val="0"/>
              <w:caps w:val="0"/>
              <w:lang w:eastAsia="en-GB"/>
            </w:rPr>
          </w:pPr>
          <w:hyperlink w:anchor="_Toc520923930" w:history="1">
            <w:r w:rsidR="002000B4" w:rsidRPr="008E781C">
              <w:rPr>
                <w:rStyle w:val="Hyperlink"/>
              </w:rPr>
              <w:t>4</w:t>
            </w:r>
            <w:r w:rsidR="002000B4" w:rsidRPr="008E781C">
              <w:rPr>
                <w:rFonts w:asciiTheme="minorHAnsi" w:eastAsiaTheme="minorEastAsia" w:hAnsiTheme="minorHAnsi" w:cstheme="minorBidi"/>
                <w:b w:val="0"/>
                <w:bCs w:val="0"/>
                <w:caps w:val="0"/>
                <w:lang w:eastAsia="en-GB"/>
              </w:rPr>
              <w:tab/>
            </w:r>
            <w:r w:rsidR="002000B4" w:rsidRPr="008E781C">
              <w:rPr>
                <w:rStyle w:val="Hyperlink"/>
              </w:rPr>
              <w:t>Due diligence criteria and security considerations</w:t>
            </w:r>
            <w:r w:rsidR="002000B4" w:rsidRPr="008E781C">
              <w:rPr>
                <w:webHidden/>
              </w:rPr>
              <w:tab/>
            </w:r>
            <w:r w:rsidR="002000B4" w:rsidRPr="008E781C">
              <w:rPr>
                <w:webHidden/>
              </w:rPr>
              <w:fldChar w:fldCharType="begin"/>
            </w:r>
            <w:r w:rsidR="002000B4" w:rsidRPr="008E781C">
              <w:rPr>
                <w:webHidden/>
              </w:rPr>
              <w:instrText xml:space="preserve"> PAGEREF _Toc520923930 \h </w:instrText>
            </w:r>
            <w:r w:rsidR="002000B4" w:rsidRPr="008E781C">
              <w:rPr>
                <w:webHidden/>
              </w:rPr>
            </w:r>
            <w:r w:rsidR="002000B4" w:rsidRPr="008E781C">
              <w:rPr>
                <w:webHidden/>
              </w:rPr>
              <w:fldChar w:fldCharType="separate"/>
            </w:r>
            <w:r w:rsidR="00EC4DF9">
              <w:rPr>
                <w:webHidden/>
              </w:rPr>
              <w:t>31</w:t>
            </w:r>
            <w:r w:rsidR="002000B4" w:rsidRPr="008E781C">
              <w:rPr>
                <w:webHidden/>
              </w:rPr>
              <w:fldChar w:fldCharType="end"/>
            </w:r>
          </w:hyperlink>
        </w:p>
        <w:p w14:paraId="1E5EF47C" w14:textId="1980F388" w:rsidR="002000B4" w:rsidRPr="008E781C" w:rsidRDefault="00626E2C">
          <w:pPr>
            <w:pStyle w:val="TOC1"/>
            <w:rPr>
              <w:rFonts w:asciiTheme="minorHAnsi" w:eastAsiaTheme="minorEastAsia" w:hAnsiTheme="minorHAnsi" w:cstheme="minorBidi"/>
              <w:b w:val="0"/>
              <w:bCs w:val="0"/>
              <w:caps w:val="0"/>
              <w:lang w:eastAsia="en-GB"/>
            </w:rPr>
          </w:pPr>
          <w:hyperlink w:anchor="_Toc520923931" w:history="1">
            <w:r w:rsidR="002000B4" w:rsidRPr="008E781C">
              <w:rPr>
                <w:rStyle w:val="Hyperlink"/>
              </w:rPr>
              <w:t>III.</w:t>
            </w:r>
            <w:r w:rsidR="002000B4" w:rsidRPr="008E781C">
              <w:rPr>
                <w:rFonts w:asciiTheme="minorHAnsi" w:eastAsiaTheme="minorEastAsia" w:hAnsiTheme="minorHAnsi" w:cstheme="minorBidi"/>
                <w:b w:val="0"/>
                <w:bCs w:val="0"/>
                <w:caps w:val="0"/>
                <w:lang w:eastAsia="en-GB"/>
              </w:rPr>
              <w:tab/>
            </w:r>
            <w:r w:rsidR="002000B4" w:rsidRPr="008E781C">
              <w:rPr>
                <w:rStyle w:val="Hyperlink"/>
              </w:rPr>
              <w:t>RIGHTS GRANTED BY THE PERMITS</w:t>
            </w:r>
            <w:r w:rsidR="002000B4" w:rsidRPr="008E781C">
              <w:rPr>
                <w:webHidden/>
              </w:rPr>
              <w:tab/>
            </w:r>
            <w:r w:rsidR="002000B4" w:rsidRPr="008E781C">
              <w:rPr>
                <w:webHidden/>
              </w:rPr>
              <w:fldChar w:fldCharType="begin"/>
            </w:r>
            <w:r w:rsidR="002000B4" w:rsidRPr="008E781C">
              <w:rPr>
                <w:webHidden/>
              </w:rPr>
              <w:instrText xml:space="preserve"> PAGEREF _Toc520923931 \h </w:instrText>
            </w:r>
            <w:r w:rsidR="002000B4" w:rsidRPr="008E781C">
              <w:rPr>
                <w:webHidden/>
              </w:rPr>
            </w:r>
            <w:r w:rsidR="002000B4" w:rsidRPr="008E781C">
              <w:rPr>
                <w:webHidden/>
              </w:rPr>
              <w:fldChar w:fldCharType="separate"/>
            </w:r>
            <w:r w:rsidR="00EC4DF9">
              <w:rPr>
                <w:webHidden/>
              </w:rPr>
              <w:t>34</w:t>
            </w:r>
            <w:r w:rsidR="002000B4" w:rsidRPr="008E781C">
              <w:rPr>
                <w:webHidden/>
              </w:rPr>
              <w:fldChar w:fldCharType="end"/>
            </w:r>
          </w:hyperlink>
        </w:p>
        <w:p w14:paraId="3BD5F36B" w14:textId="1784DF06" w:rsidR="002000B4" w:rsidRPr="008E781C" w:rsidRDefault="00626E2C">
          <w:pPr>
            <w:pStyle w:val="TOC1"/>
            <w:rPr>
              <w:rFonts w:asciiTheme="minorHAnsi" w:eastAsiaTheme="minorEastAsia" w:hAnsiTheme="minorHAnsi" w:cstheme="minorBidi"/>
              <w:b w:val="0"/>
              <w:bCs w:val="0"/>
              <w:caps w:val="0"/>
              <w:lang w:eastAsia="en-GB"/>
            </w:rPr>
          </w:pPr>
          <w:hyperlink w:anchor="_Toc520923932" w:history="1">
            <w:r w:rsidR="002000B4" w:rsidRPr="008E781C">
              <w:rPr>
                <w:rStyle w:val="Hyperlink"/>
              </w:rPr>
              <w:t>1</w:t>
            </w:r>
            <w:r w:rsidR="002000B4" w:rsidRPr="008E781C">
              <w:rPr>
                <w:rFonts w:asciiTheme="minorHAnsi" w:eastAsiaTheme="minorEastAsia" w:hAnsiTheme="minorHAnsi" w:cstheme="minorBidi"/>
                <w:b w:val="0"/>
                <w:bCs w:val="0"/>
                <w:caps w:val="0"/>
                <w:lang w:eastAsia="en-GB"/>
              </w:rPr>
              <w:tab/>
            </w:r>
            <w:r w:rsidR="002000B4" w:rsidRPr="008E781C">
              <w:rPr>
                <w:rStyle w:val="Hyperlink"/>
              </w:rPr>
              <w:t>Rights granted to investors</w:t>
            </w:r>
            <w:r w:rsidR="002000B4" w:rsidRPr="008E781C">
              <w:rPr>
                <w:webHidden/>
              </w:rPr>
              <w:tab/>
            </w:r>
            <w:r w:rsidR="002000B4" w:rsidRPr="008E781C">
              <w:rPr>
                <w:webHidden/>
              </w:rPr>
              <w:fldChar w:fldCharType="begin"/>
            </w:r>
            <w:r w:rsidR="002000B4" w:rsidRPr="008E781C">
              <w:rPr>
                <w:webHidden/>
              </w:rPr>
              <w:instrText xml:space="preserve"> PAGEREF _Toc520923932 \h </w:instrText>
            </w:r>
            <w:r w:rsidR="002000B4" w:rsidRPr="008E781C">
              <w:rPr>
                <w:webHidden/>
              </w:rPr>
            </w:r>
            <w:r w:rsidR="002000B4" w:rsidRPr="008E781C">
              <w:rPr>
                <w:webHidden/>
              </w:rPr>
              <w:fldChar w:fldCharType="separate"/>
            </w:r>
            <w:r w:rsidR="00EC4DF9">
              <w:rPr>
                <w:webHidden/>
              </w:rPr>
              <w:t>34</w:t>
            </w:r>
            <w:r w:rsidR="002000B4" w:rsidRPr="008E781C">
              <w:rPr>
                <w:webHidden/>
              </w:rPr>
              <w:fldChar w:fldCharType="end"/>
            </w:r>
          </w:hyperlink>
        </w:p>
        <w:p w14:paraId="19E81675" w14:textId="7F05BE99" w:rsidR="002000B4" w:rsidRPr="008E781C" w:rsidRDefault="00626E2C">
          <w:pPr>
            <w:pStyle w:val="TOC1"/>
            <w:rPr>
              <w:rFonts w:asciiTheme="minorHAnsi" w:eastAsiaTheme="minorEastAsia" w:hAnsiTheme="minorHAnsi" w:cstheme="minorBidi"/>
              <w:b w:val="0"/>
              <w:bCs w:val="0"/>
              <w:caps w:val="0"/>
              <w:lang w:eastAsia="en-GB"/>
            </w:rPr>
          </w:pPr>
          <w:hyperlink w:anchor="_Toc520923933" w:history="1">
            <w:r w:rsidR="002000B4" w:rsidRPr="008E781C">
              <w:rPr>
                <w:rStyle w:val="Hyperlink"/>
              </w:rPr>
              <w:t>2</w:t>
            </w:r>
            <w:r w:rsidR="002000B4" w:rsidRPr="008E781C">
              <w:rPr>
                <w:rFonts w:asciiTheme="minorHAnsi" w:eastAsiaTheme="minorEastAsia" w:hAnsiTheme="minorHAnsi" w:cstheme="minorBidi"/>
                <w:b w:val="0"/>
                <w:bCs w:val="0"/>
                <w:caps w:val="0"/>
                <w:lang w:eastAsia="en-GB"/>
              </w:rPr>
              <w:tab/>
            </w:r>
            <w:r w:rsidR="002000B4" w:rsidRPr="008E781C">
              <w:rPr>
                <w:rStyle w:val="Hyperlink"/>
              </w:rPr>
              <w:t>Rights granted to the investors’ family members</w:t>
            </w:r>
            <w:r w:rsidR="002000B4" w:rsidRPr="008E781C">
              <w:rPr>
                <w:webHidden/>
              </w:rPr>
              <w:tab/>
            </w:r>
            <w:r w:rsidR="002000B4" w:rsidRPr="008E781C">
              <w:rPr>
                <w:webHidden/>
              </w:rPr>
              <w:fldChar w:fldCharType="begin"/>
            </w:r>
            <w:r w:rsidR="002000B4" w:rsidRPr="008E781C">
              <w:rPr>
                <w:webHidden/>
              </w:rPr>
              <w:instrText xml:space="preserve"> PAGEREF _Toc520923933 \h </w:instrText>
            </w:r>
            <w:r w:rsidR="002000B4" w:rsidRPr="008E781C">
              <w:rPr>
                <w:webHidden/>
              </w:rPr>
            </w:r>
            <w:r w:rsidR="002000B4" w:rsidRPr="008E781C">
              <w:rPr>
                <w:webHidden/>
              </w:rPr>
              <w:fldChar w:fldCharType="separate"/>
            </w:r>
            <w:r w:rsidR="00EC4DF9">
              <w:rPr>
                <w:webHidden/>
              </w:rPr>
              <w:t>34</w:t>
            </w:r>
            <w:r w:rsidR="002000B4" w:rsidRPr="008E781C">
              <w:rPr>
                <w:webHidden/>
              </w:rPr>
              <w:fldChar w:fldCharType="end"/>
            </w:r>
          </w:hyperlink>
        </w:p>
        <w:p w14:paraId="77B23E06" w14:textId="28647EB7" w:rsidR="002000B4" w:rsidRPr="008E781C" w:rsidRDefault="00626E2C">
          <w:pPr>
            <w:pStyle w:val="TOC1"/>
            <w:rPr>
              <w:rFonts w:asciiTheme="minorHAnsi" w:eastAsiaTheme="minorEastAsia" w:hAnsiTheme="minorHAnsi" w:cstheme="minorBidi"/>
              <w:b w:val="0"/>
              <w:bCs w:val="0"/>
              <w:caps w:val="0"/>
              <w:lang w:eastAsia="en-GB"/>
            </w:rPr>
          </w:pPr>
          <w:hyperlink w:anchor="_Toc520923934" w:history="1">
            <w:r w:rsidR="002000B4" w:rsidRPr="008E781C">
              <w:rPr>
                <w:rStyle w:val="Hyperlink"/>
              </w:rPr>
              <w:t>3</w:t>
            </w:r>
            <w:r w:rsidR="002000B4" w:rsidRPr="008E781C">
              <w:rPr>
                <w:rFonts w:asciiTheme="minorHAnsi" w:eastAsiaTheme="minorEastAsia" w:hAnsiTheme="minorHAnsi" w:cstheme="minorBidi"/>
                <w:b w:val="0"/>
                <w:bCs w:val="0"/>
                <w:caps w:val="0"/>
                <w:lang w:eastAsia="en-GB"/>
              </w:rPr>
              <w:tab/>
            </w:r>
            <w:r w:rsidR="002000B4" w:rsidRPr="008E781C">
              <w:rPr>
                <w:rStyle w:val="Hyperlink"/>
              </w:rPr>
              <w:t>Other benefits</w:t>
            </w:r>
            <w:r w:rsidR="002000B4" w:rsidRPr="008E781C">
              <w:rPr>
                <w:webHidden/>
              </w:rPr>
              <w:tab/>
            </w:r>
            <w:r w:rsidR="002000B4" w:rsidRPr="008E781C">
              <w:rPr>
                <w:webHidden/>
              </w:rPr>
              <w:fldChar w:fldCharType="begin"/>
            </w:r>
            <w:r w:rsidR="002000B4" w:rsidRPr="008E781C">
              <w:rPr>
                <w:webHidden/>
              </w:rPr>
              <w:instrText xml:space="preserve"> PAGEREF _Toc520923934 \h </w:instrText>
            </w:r>
            <w:r w:rsidR="002000B4" w:rsidRPr="008E781C">
              <w:rPr>
                <w:webHidden/>
              </w:rPr>
            </w:r>
            <w:r w:rsidR="002000B4" w:rsidRPr="008E781C">
              <w:rPr>
                <w:webHidden/>
              </w:rPr>
              <w:fldChar w:fldCharType="separate"/>
            </w:r>
            <w:r w:rsidR="00EC4DF9">
              <w:rPr>
                <w:webHidden/>
              </w:rPr>
              <w:t>34</w:t>
            </w:r>
            <w:r w:rsidR="002000B4" w:rsidRPr="008E781C">
              <w:rPr>
                <w:webHidden/>
              </w:rPr>
              <w:fldChar w:fldCharType="end"/>
            </w:r>
          </w:hyperlink>
        </w:p>
        <w:p w14:paraId="0C025CE0" w14:textId="2816CA48" w:rsidR="002000B4" w:rsidRPr="008E781C" w:rsidRDefault="00626E2C">
          <w:pPr>
            <w:pStyle w:val="TOC1"/>
            <w:rPr>
              <w:rFonts w:asciiTheme="minorHAnsi" w:eastAsiaTheme="minorEastAsia" w:hAnsiTheme="minorHAnsi" w:cstheme="minorBidi"/>
              <w:b w:val="0"/>
              <w:bCs w:val="0"/>
              <w:caps w:val="0"/>
              <w:lang w:eastAsia="en-GB"/>
            </w:rPr>
          </w:pPr>
          <w:hyperlink w:anchor="_Toc520923935" w:history="1">
            <w:r w:rsidR="002000B4" w:rsidRPr="008E781C">
              <w:rPr>
                <w:rStyle w:val="Hyperlink"/>
              </w:rPr>
              <w:t>IV.</w:t>
            </w:r>
            <w:r w:rsidR="002000B4" w:rsidRPr="008E781C">
              <w:rPr>
                <w:rFonts w:asciiTheme="minorHAnsi" w:eastAsiaTheme="minorEastAsia" w:hAnsiTheme="minorHAnsi" w:cstheme="minorBidi"/>
                <w:b w:val="0"/>
                <w:bCs w:val="0"/>
                <w:caps w:val="0"/>
                <w:lang w:eastAsia="en-GB"/>
              </w:rPr>
              <w:tab/>
            </w:r>
            <w:r w:rsidR="002000B4" w:rsidRPr="008E781C">
              <w:rPr>
                <w:rStyle w:val="Hyperlink"/>
              </w:rPr>
              <w:t>INTERACTION BETWEEN RESIDENCE AND CITIZENSHIP SCHEMES</w:t>
            </w:r>
            <w:r w:rsidR="002000B4" w:rsidRPr="008E781C">
              <w:rPr>
                <w:webHidden/>
              </w:rPr>
              <w:tab/>
            </w:r>
            <w:r w:rsidR="002000B4" w:rsidRPr="008E781C">
              <w:rPr>
                <w:webHidden/>
              </w:rPr>
              <w:fldChar w:fldCharType="begin"/>
            </w:r>
            <w:r w:rsidR="002000B4" w:rsidRPr="008E781C">
              <w:rPr>
                <w:webHidden/>
              </w:rPr>
              <w:instrText xml:space="preserve"> PAGEREF _Toc520923935 \h </w:instrText>
            </w:r>
            <w:r w:rsidR="002000B4" w:rsidRPr="008E781C">
              <w:rPr>
                <w:webHidden/>
              </w:rPr>
            </w:r>
            <w:r w:rsidR="002000B4" w:rsidRPr="008E781C">
              <w:rPr>
                <w:webHidden/>
              </w:rPr>
              <w:fldChar w:fldCharType="separate"/>
            </w:r>
            <w:r w:rsidR="00EC4DF9">
              <w:rPr>
                <w:webHidden/>
              </w:rPr>
              <w:t>35</w:t>
            </w:r>
            <w:r w:rsidR="002000B4" w:rsidRPr="008E781C">
              <w:rPr>
                <w:webHidden/>
              </w:rPr>
              <w:fldChar w:fldCharType="end"/>
            </w:r>
          </w:hyperlink>
        </w:p>
        <w:p w14:paraId="51B1B80B" w14:textId="0BB41B34" w:rsidR="002000B4" w:rsidRPr="008E781C" w:rsidRDefault="00626E2C">
          <w:pPr>
            <w:pStyle w:val="TOC1"/>
            <w:rPr>
              <w:rFonts w:asciiTheme="minorHAnsi" w:eastAsiaTheme="minorEastAsia" w:hAnsiTheme="minorHAnsi" w:cstheme="minorBidi"/>
              <w:b w:val="0"/>
              <w:bCs w:val="0"/>
              <w:caps w:val="0"/>
              <w:lang w:eastAsia="en-GB"/>
            </w:rPr>
          </w:pPr>
          <w:hyperlink w:anchor="_Toc520923936" w:history="1">
            <w:r w:rsidR="002000B4" w:rsidRPr="008E781C">
              <w:rPr>
                <w:rStyle w:val="Hyperlink"/>
              </w:rPr>
              <w:t>V.</w:t>
            </w:r>
            <w:r w:rsidR="002000B4" w:rsidRPr="008E781C">
              <w:rPr>
                <w:rFonts w:asciiTheme="minorHAnsi" w:eastAsiaTheme="minorEastAsia" w:hAnsiTheme="minorHAnsi" w:cstheme="minorBidi"/>
                <w:b w:val="0"/>
                <w:bCs w:val="0"/>
                <w:caps w:val="0"/>
                <w:lang w:eastAsia="en-GB"/>
              </w:rPr>
              <w:tab/>
            </w:r>
            <w:r w:rsidR="002000B4" w:rsidRPr="008E781C">
              <w:rPr>
                <w:rStyle w:val="Hyperlink"/>
              </w:rPr>
              <w:t>ECONOMIC AND FINANCIAL EFFICIENCY OF RESIDENCE PERMITS FOR FOREIGN INVESTORS</w:t>
            </w:r>
            <w:r w:rsidR="002000B4" w:rsidRPr="008E781C">
              <w:rPr>
                <w:webHidden/>
              </w:rPr>
              <w:tab/>
            </w:r>
            <w:r w:rsidR="002000B4" w:rsidRPr="008E781C">
              <w:rPr>
                <w:webHidden/>
              </w:rPr>
              <w:fldChar w:fldCharType="begin"/>
            </w:r>
            <w:r w:rsidR="002000B4" w:rsidRPr="008E781C">
              <w:rPr>
                <w:webHidden/>
              </w:rPr>
              <w:instrText xml:space="preserve"> PAGEREF _Toc520923936 \h </w:instrText>
            </w:r>
            <w:r w:rsidR="002000B4" w:rsidRPr="008E781C">
              <w:rPr>
                <w:webHidden/>
              </w:rPr>
            </w:r>
            <w:r w:rsidR="002000B4" w:rsidRPr="008E781C">
              <w:rPr>
                <w:webHidden/>
              </w:rPr>
              <w:fldChar w:fldCharType="separate"/>
            </w:r>
            <w:r w:rsidR="00EC4DF9">
              <w:rPr>
                <w:webHidden/>
              </w:rPr>
              <w:t>36</w:t>
            </w:r>
            <w:r w:rsidR="002000B4" w:rsidRPr="008E781C">
              <w:rPr>
                <w:webHidden/>
              </w:rPr>
              <w:fldChar w:fldCharType="end"/>
            </w:r>
          </w:hyperlink>
        </w:p>
        <w:p w14:paraId="713B2655" w14:textId="068B8061" w:rsidR="00F90C45" w:rsidRPr="008E781C" w:rsidRDefault="00F90C45">
          <w:r w:rsidRPr="008E781C">
            <w:rPr>
              <w:b/>
              <w:bCs/>
              <w:noProof/>
            </w:rPr>
            <w:fldChar w:fldCharType="end"/>
          </w:r>
        </w:p>
      </w:sdtContent>
    </w:sdt>
    <w:p w14:paraId="775A18C2" w14:textId="77777777" w:rsidR="003F42A4" w:rsidRPr="008E781C" w:rsidRDefault="003F42A4" w:rsidP="001F14FD">
      <w:pPr>
        <w:rPr>
          <w:sz w:val="22"/>
        </w:rPr>
      </w:pPr>
    </w:p>
    <w:p w14:paraId="053A7AE7" w14:textId="504DEB97" w:rsidR="00D71916" w:rsidRPr="008E781C" w:rsidRDefault="00D71916">
      <w:pPr>
        <w:rPr>
          <w:sz w:val="22"/>
        </w:rPr>
      </w:pPr>
      <w:r w:rsidRPr="008E781C">
        <w:rPr>
          <w:sz w:val="22"/>
        </w:rPr>
        <w:br w:type="page"/>
      </w:r>
    </w:p>
    <w:p w14:paraId="5853E17C" w14:textId="77777777" w:rsidR="001F14FD" w:rsidRPr="008E781C" w:rsidRDefault="001F14FD" w:rsidP="001F14FD">
      <w:pPr>
        <w:rPr>
          <w:sz w:val="22"/>
        </w:rPr>
      </w:pPr>
    </w:p>
    <w:p w14:paraId="2F899250" w14:textId="77777777" w:rsidR="001F14FD" w:rsidRPr="008E781C" w:rsidRDefault="001F14FD" w:rsidP="001F14FD"/>
    <w:p w14:paraId="4BBEC8D9" w14:textId="77777777" w:rsidR="001F14FD" w:rsidRPr="008E781C" w:rsidRDefault="001F14FD" w:rsidP="00AC2EEB">
      <w:pPr>
        <w:pStyle w:val="Heading1"/>
        <w:numPr>
          <w:ilvl w:val="0"/>
          <w:numId w:val="0"/>
        </w:numPr>
        <w:ind w:left="432"/>
        <w:rPr>
          <w:rFonts w:ascii="Century Gothic" w:hAnsi="Century Gothic"/>
          <w:u w:val="none"/>
        </w:rPr>
        <w:sectPr w:rsidR="001F14FD" w:rsidRPr="008E781C"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8E781C" w:rsidRDefault="00AC2EEB" w:rsidP="00963AC9">
      <w:pPr>
        <w:pStyle w:val="MH1nonumb"/>
        <w:numPr>
          <w:ilvl w:val="0"/>
          <w:numId w:val="10"/>
        </w:numPr>
        <w:ind w:left="426" w:hanging="284"/>
      </w:pPr>
      <w:bookmarkStart w:id="1" w:name="_Toc496025532"/>
      <w:bookmarkStart w:id="2" w:name="_Toc496124919"/>
      <w:bookmarkStart w:id="3" w:name="_Toc520923925"/>
      <w:bookmarkEnd w:id="0"/>
      <w:r w:rsidRPr="008E781C">
        <w:lastRenderedPageBreak/>
        <w:t>GENERAL BACKGROUND</w:t>
      </w:r>
      <w:bookmarkEnd w:id="1"/>
      <w:bookmarkEnd w:id="2"/>
      <w:bookmarkEnd w:id="3"/>
    </w:p>
    <w:p w14:paraId="41271D7A" w14:textId="550BA083" w:rsidR="001D7DA5" w:rsidRPr="008E781C" w:rsidRDefault="001D7DA5" w:rsidP="003B3938">
      <w:pPr>
        <w:pStyle w:val="MMultilevel"/>
        <w:rPr>
          <w:i/>
          <w:color w:val="FF0000"/>
          <w:lang w:val="en-GB"/>
        </w:rPr>
      </w:pPr>
      <w:r w:rsidRPr="008E781C">
        <w:rPr>
          <w:b/>
          <w:i/>
          <w:color w:val="000000" w:themeColor="text1"/>
          <w:lang w:val="en-GB"/>
        </w:rPr>
        <w:t>Legal background</w:t>
      </w:r>
    </w:p>
    <w:p w14:paraId="06761A10" w14:textId="77777777" w:rsidR="00075ED8" w:rsidRPr="008E781C" w:rsidRDefault="00075ED8" w:rsidP="00B02F25">
      <w:pPr>
        <w:pStyle w:val="MMultilevel"/>
        <w:numPr>
          <w:ilvl w:val="0"/>
          <w:numId w:val="0"/>
        </w:numPr>
        <w:rPr>
          <w:lang w:val="en-GB"/>
        </w:rPr>
      </w:pPr>
    </w:p>
    <w:p w14:paraId="39C7A3D7" w14:textId="0DE13BD5" w:rsidR="00B02F25" w:rsidRPr="008E781C" w:rsidRDefault="00B02F25" w:rsidP="00B02F25">
      <w:pPr>
        <w:pStyle w:val="MMultilevel"/>
        <w:numPr>
          <w:ilvl w:val="0"/>
          <w:numId w:val="0"/>
        </w:numPr>
        <w:rPr>
          <w:color w:val="000000" w:themeColor="text1"/>
          <w:lang w:val="en-GB"/>
        </w:rPr>
      </w:pPr>
      <w:r w:rsidRPr="008E781C">
        <w:rPr>
          <w:b/>
          <w:color w:val="000000" w:themeColor="text1"/>
          <w:lang w:val="en-GB"/>
        </w:rPr>
        <w:t xml:space="preserve">Spain </w:t>
      </w:r>
      <w:r w:rsidR="00A37F46" w:rsidRPr="008E781C">
        <w:rPr>
          <w:b/>
          <w:color w:val="000000" w:themeColor="text1"/>
          <w:lang w:val="en-GB"/>
        </w:rPr>
        <w:t xml:space="preserve">has operated </w:t>
      </w:r>
      <w:r w:rsidRPr="008E781C">
        <w:rPr>
          <w:b/>
          <w:color w:val="000000" w:themeColor="text1"/>
          <w:lang w:val="en-GB"/>
        </w:rPr>
        <w:t>residence schemes since 2013</w:t>
      </w:r>
      <w:r w:rsidRPr="008E781C">
        <w:rPr>
          <w:color w:val="000000" w:themeColor="text1"/>
          <w:lang w:val="en-GB"/>
        </w:rPr>
        <w:t>, when it adopted</w:t>
      </w:r>
      <w:r w:rsidRPr="008E781C">
        <w:rPr>
          <w:b/>
          <w:color w:val="000000" w:themeColor="text1"/>
          <w:lang w:val="en-GB"/>
        </w:rPr>
        <w:t xml:space="preserve"> Law 14/2013</w:t>
      </w:r>
      <w:r w:rsidRPr="008E781C">
        <w:rPr>
          <w:color w:val="000000" w:themeColor="text1"/>
          <w:lang w:val="en-GB"/>
        </w:rPr>
        <w:t>, of 27 September, on the support to entrepreneurs and their internationalisation</w:t>
      </w:r>
      <w:r w:rsidR="00D71DF6" w:rsidRPr="008E781C">
        <w:rPr>
          <w:color w:val="000000" w:themeColor="text1"/>
          <w:lang w:val="en-GB"/>
        </w:rPr>
        <w:t xml:space="preserve"> (Law 14/2013)</w:t>
      </w:r>
      <w:r w:rsidRPr="008E781C">
        <w:rPr>
          <w:color w:val="000000" w:themeColor="text1"/>
          <w:lang w:val="en-GB"/>
        </w:rPr>
        <w:t>.</w:t>
      </w:r>
      <w:r w:rsidRPr="008E781C">
        <w:rPr>
          <w:rStyle w:val="FootnoteReference"/>
          <w:color w:val="000000" w:themeColor="text1"/>
          <w:lang w:val="en-GB"/>
        </w:rPr>
        <w:footnoteReference w:id="1"/>
      </w:r>
      <w:r w:rsidR="00D71DF6" w:rsidRPr="008E781C">
        <w:rPr>
          <w:color w:val="000000" w:themeColor="text1"/>
          <w:lang w:val="en-GB"/>
        </w:rPr>
        <w:t xml:space="preserve"> According to the Preamble of Law 14/2013, its adoption was </w:t>
      </w:r>
      <w:r w:rsidR="00A37F46" w:rsidRPr="008E781C">
        <w:rPr>
          <w:color w:val="000000" w:themeColor="text1"/>
          <w:lang w:val="en-GB"/>
        </w:rPr>
        <w:t>instigated by the</w:t>
      </w:r>
      <w:r w:rsidR="00D71DF6" w:rsidRPr="008E781C">
        <w:rPr>
          <w:color w:val="000000" w:themeColor="text1"/>
          <w:lang w:val="en-GB"/>
        </w:rPr>
        <w:t xml:space="preserve"> “profound economic crisis that Spain has been suffering, with acute social consequences</w:t>
      </w:r>
      <w:r w:rsidR="00027DA9" w:rsidRPr="008E781C">
        <w:rPr>
          <w:color w:val="000000" w:themeColor="text1"/>
          <w:lang w:val="en-GB"/>
        </w:rPr>
        <w:t>”.</w:t>
      </w:r>
      <w:r w:rsidR="008F49D4" w:rsidRPr="008E781C">
        <w:rPr>
          <w:color w:val="000000" w:themeColor="text1"/>
          <w:lang w:val="en-GB"/>
        </w:rPr>
        <w:t xml:space="preserve"> Law </w:t>
      </w:r>
      <w:r w:rsidR="00B2283B" w:rsidRPr="008E781C">
        <w:rPr>
          <w:color w:val="000000" w:themeColor="text1"/>
          <w:lang w:val="en-GB"/>
        </w:rPr>
        <w:t>14/2013</w:t>
      </w:r>
      <w:r w:rsidR="008F49D4" w:rsidRPr="008E781C">
        <w:rPr>
          <w:color w:val="000000" w:themeColor="text1"/>
          <w:lang w:val="en-GB"/>
        </w:rPr>
        <w:t xml:space="preserve"> was</w:t>
      </w:r>
      <w:r w:rsidR="00B2283B" w:rsidRPr="008E781C">
        <w:rPr>
          <w:color w:val="000000" w:themeColor="text1"/>
          <w:lang w:val="en-GB"/>
        </w:rPr>
        <w:t>, thus,</w:t>
      </w:r>
      <w:r w:rsidR="008F49D4" w:rsidRPr="008E781C">
        <w:rPr>
          <w:color w:val="000000" w:themeColor="text1"/>
          <w:lang w:val="en-GB"/>
        </w:rPr>
        <w:t xml:space="preserve"> adopted </w:t>
      </w:r>
      <w:r w:rsidR="00B2283B" w:rsidRPr="008E781C">
        <w:rPr>
          <w:color w:val="000000" w:themeColor="text1"/>
          <w:lang w:val="en-GB"/>
        </w:rPr>
        <w:t>to enhance the entrepreneurial culture, initiative and education in Spain by creating a favourable legal, institutional and social framework under which new undertakings can set up and flourish. Such framework is essential to encourage investment and productivity.</w:t>
      </w:r>
      <w:r w:rsidR="00B2283B" w:rsidRPr="008E781C">
        <w:rPr>
          <w:rStyle w:val="FootnoteReference"/>
          <w:color w:val="000000" w:themeColor="text1"/>
          <w:lang w:val="en-GB"/>
        </w:rPr>
        <w:footnoteReference w:id="2"/>
      </w:r>
    </w:p>
    <w:p w14:paraId="27302582" w14:textId="7D1BBE32" w:rsidR="00B2283B" w:rsidRPr="008E781C" w:rsidRDefault="00B2283B" w:rsidP="00B02F25">
      <w:pPr>
        <w:pStyle w:val="MMultilevel"/>
        <w:numPr>
          <w:ilvl w:val="0"/>
          <w:numId w:val="0"/>
        </w:numPr>
        <w:rPr>
          <w:color w:val="000000" w:themeColor="text1"/>
          <w:lang w:val="en-GB"/>
        </w:rPr>
      </w:pPr>
    </w:p>
    <w:p w14:paraId="6AE3836F" w14:textId="6B73A738" w:rsidR="00FF4D7B" w:rsidRPr="008E781C" w:rsidRDefault="00B2283B" w:rsidP="00B02F25">
      <w:pPr>
        <w:pStyle w:val="MMultilevel"/>
        <w:numPr>
          <w:ilvl w:val="0"/>
          <w:numId w:val="0"/>
        </w:numPr>
        <w:rPr>
          <w:lang w:val="en-GB"/>
        </w:rPr>
      </w:pPr>
      <w:r w:rsidRPr="008E781C">
        <w:rPr>
          <w:color w:val="000000" w:themeColor="text1"/>
          <w:lang w:val="en-GB"/>
        </w:rPr>
        <w:t xml:space="preserve">Law 14/2013 aims to </w:t>
      </w:r>
      <w:r w:rsidRPr="008E781C">
        <w:rPr>
          <w:b/>
          <w:color w:val="000000" w:themeColor="text1"/>
          <w:lang w:val="en-GB"/>
        </w:rPr>
        <w:t>simplify and grant clarity to the legal framework applicable to the creation and regulation of undertakings</w:t>
      </w:r>
      <w:r w:rsidRPr="008E781C">
        <w:rPr>
          <w:color w:val="000000" w:themeColor="text1"/>
          <w:lang w:val="en-GB"/>
        </w:rPr>
        <w:t xml:space="preserve">, </w:t>
      </w:r>
      <w:r w:rsidR="00CB4024" w:rsidRPr="008E781C">
        <w:rPr>
          <w:color w:val="000000" w:themeColor="text1"/>
          <w:lang w:val="en-GB"/>
        </w:rPr>
        <w:t xml:space="preserve">until then </w:t>
      </w:r>
      <w:r w:rsidRPr="008E781C">
        <w:rPr>
          <w:color w:val="000000" w:themeColor="text1"/>
          <w:lang w:val="en-GB"/>
        </w:rPr>
        <w:t>scattered in an array of commercial legislation at EU, national and Autonomous Community Level.</w:t>
      </w:r>
      <w:r w:rsidRPr="008E781C">
        <w:rPr>
          <w:rStyle w:val="FootnoteReference"/>
          <w:color w:val="000000" w:themeColor="text1"/>
          <w:lang w:val="en-GB"/>
        </w:rPr>
        <w:footnoteReference w:id="3"/>
      </w:r>
      <w:r w:rsidRPr="008E781C">
        <w:rPr>
          <w:color w:val="000000" w:themeColor="text1"/>
          <w:lang w:val="en-GB"/>
        </w:rPr>
        <w:t xml:space="preserve"> </w:t>
      </w:r>
      <w:r w:rsidR="00A37F46" w:rsidRPr="008E781C">
        <w:rPr>
          <w:color w:val="000000" w:themeColor="text1"/>
          <w:lang w:val="en-GB"/>
        </w:rPr>
        <w:t xml:space="preserve">This </w:t>
      </w:r>
      <w:r w:rsidR="00FF4D7B" w:rsidRPr="008E781C">
        <w:rPr>
          <w:color w:val="000000" w:themeColor="text1"/>
          <w:lang w:val="en-GB"/>
        </w:rPr>
        <w:t xml:space="preserve">legal framework is </w:t>
      </w:r>
      <w:r w:rsidR="00CB4024" w:rsidRPr="008E781C">
        <w:rPr>
          <w:color w:val="000000" w:themeColor="text1"/>
          <w:lang w:val="en-GB"/>
        </w:rPr>
        <w:t xml:space="preserve">unquestionably </w:t>
      </w:r>
      <w:r w:rsidR="00FF4D7B" w:rsidRPr="008E781C">
        <w:rPr>
          <w:color w:val="000000" w:themeColor="text1"/>
          <w:lang w:val="en-GB"/>
        </w:rPr>
        <w:t>linked to the immigration policies, as the number of economic immigrants has been on the rise.</w:t>
      </w:r>
      <w:r w:rsidR="00FF4D7B" w:rsidRPr="008E781C">
        <w:rPr>
          <w:rStyle w:val="FootnoteReference"/>
          <w:color w:val="000000" w:themeColor="text1"/>
          <w:lang w:val="en-GB"/>
        </w:rPr>
        <w:footnoteReference w:id="4"/>
      </w:r>
      <w:r w:rsidR="00CB4024" w:rsidRPr="008E781C">
        <w:rPr>
          <w:color w:val="000000" w:themeColor="text1"/>
          <w:lang w:val="en-GB"/>
        </w:rPr>
        <w:t xml:space="preserve"> By the time Spain adopted Law 14/2013, a number of OECD countries had already adopted </w:t>
      </w:r>
      <w:r w:rsidR="00A37F46" w:rsidRPr="008E781C">
        <w:rPr>
          <w:color w:val="000000" w:themeColor="text1"/>
          <w:lang w:val="en-GB"/>
        </w:rPr>
        <w:t>laws</w:t>
      </w:r>
      <w:r w:rsidR="0066082D" w:rsidRPr="008E781C">
        <w:rPr>
          <w:color w:val="000000" w:themeColor="text1"/>
          <w:lang w:val="en-GB"/>
        </w:rPr>
        <w:t xml:space="preserve"> and policies</w:t>
      </w:r>
      <w:r w:rsidR="00CB4024" w:rsidRPr="008E781C">
        <w:rPr>
          <w:color w:val="000000" w:themeColor="text1"/>
          <w:lang w:val="en-GB"/>
        </w:rPr>
        <w:t xml:space="preserve"> to encourage foreign investment</w:t>
      </w:r>
      <w:r w:rsidR="00A37F46" w:rsidRPr="008E781C">
        <w:rPr>
          <w:color w:val="000000" w:themeColor="text1"/>
          <w:lang w:val="en-GB"/>
        </w:rPr>
        <w:t xml:space="preserve"> and increase competitiveness</w:t>
      </w:r>
      <w:r w:rsidR="00CB4024" w:rsidRPr="008E781C">
        <w:rPr>
          <w:color w:val="000000" w:themeColor="text1"/>
          <w:lang w:val="en-GB"/>
        </w:rPr>
        <w:t xml:space="preserve"> and it is in this same context</w:t>
      </w:r>
      <w:r w:rsidR="00A37F46" w:rsidRPr="008E781C">
        <w:rPr>
          <w:color w:val="000000" w:themeColor="text1"/>
          <w:lang w:val="en-GB"/>
        </w:rPr>
        <w:t xml:space="preserve"> </w:t>
      </w:r>
      <w:r w:rsidR="00CB4024" w:rsidRPr="008E781C">
        <w:rPr>
          <w:color w:val="000000" w:themeColor="text1"/>
          <w:lang w:val="en-GB"/>
        </w:rPr>
        <w:t xml:space="preserve">that Law </w:t>
      </w:r>
      <w:r w:rsidR="00A37F46" w:rsidRPr="008E781C">
        <w:rPr>
          <w:color w:val="000000" w:themeColor="text1"/>
          <w:lang w:val="en-GB"/>
        </w:rPr>
        <w:t xml:space="preserve">14/2013 </w:t>
      </w:r>
      <w:r w:rsidR="00CB4024" w:rsidRPr="008E781C">
        <w:rPr>
          <w:color w:val="000000" w:themeColor="text1"/>
          <w:lang w:val="en-GB"/>
        </w:rPr>
        <w:t>was adopted.</w:t>
      </w:r>
      <w:r w:rsidR="00CB4024" w:rsidRPr="008E781C">
        <w:rPr>
          <w:rStyle w:val="FootnoteReference"/>
          <w:color w:val="000000" w:themeColor="text1"/>
          <w:lang w:val="en-GB"/>
        </w:rPr>
        <w:footnoteReference w:id="5"/>
      </w:r>
    </w:p>
    <w:p w14:paraId="4E593ABC" w14:textId="390B9068" w:rsidR="00CB4024" w:rsidRPr="008E781C" w:rsidRDefault="00CB4024" w:rsidP="00B02F25">
      <w:pPr>
        <w:pStyle w:val="MMultilevel"/>
        <w:numPr>
          <w:ilvl w:val="0"/>
          <w:numId w:val="0"/>
        </w:numPr>
        <w:rPr>
          <w:color w:val="000000" w:themeColor="text1"/>
          <w:lang w:val="en-GB"/>
        </w:rPr>
      </w:pPr>
    </w:p>
    <w:p w14:paraId="5EEE49DD" w14:textId="44ABEB8C" w:rsidR="00B02F25" w:rsidRPr="008E781C" w:rsidRDefault="00CB4024" w:rsidP="00B02F25">
      <w:pPr>
        <w:pStyle w:val="MMultilevel"/>
        <w:numPr>
          <w:ilvl w:val="0"/>
          <w:numId w:val="0"/>
        </w:numPr>
        <w:rPr>
          <w:color w:val="000000" w:themeColor="text1"/>
          <w:lang w:val="en-GB"/>
        </w:rPr>
      </w:pPr>
      <w:r w:rsidRPr="008E781C">
        <w:rPr>
          <w:color w:val="000000" w:themeColor="text1"/>
          <w:lang w:val="en-GB"/>
        </w:rPr>
        <w:t>Although Law 14/2013 regulates entrepreneurial schemes (Titles I-IV, Articles 4-49)</w:t>
      </w:r>
      <w:r w:rsidR="00A37774" w:rsidRPr="008E781C">
        <w:rPr>
          <w:color w:val="000000" w:themeColor="text1"/>
          <w:lang w:val="en-GB"/>
        </w:rPr>
        <w:t>,</w:t>
      </w:r>
      <w:r w:rsidRPr="008E781C">
        <w:rPr>
          <w:color w:val="000000" w:themeColor="text1"/>
          <w:lang w:val="en-GB"/>
        </w:rPr>
        <w:t xml:space="preserve"> </w:t>
      </w:r>
      <w:r w:rsidRPr="008E781C">
        <w:rPr>
          <w:b/>
          <w:color w:val="000000" w:themeColor="text1"/>
          <w:lang w:val="en-GB"/>
        </w:rPr>
        <w:t>Title V</w:t>
      </w:r>
      <w:r w:rsidRPr="008E781C">
        <w:rPr>
          <w:color w:val="000000" w:themeColor="text1"/>
          <w:lang w:val="en-GB"/>
        </w:rPr>
        <w:t xml:space="preserve"> of the same Law (Articles 61-76)</w:t>
      </w:r>
      <w:r w:rsidR="00A37774" w:rsidRPr="008E781C">
        <w:rPr>
          <w:color w:val="000000" w:themeColor="text1"/>
          <w:lang w:val="en-GB"/>
        </w:rPr>
        <w:t xml:space="preserve"> also</w:t>
      </w:r>
      <w:r w:rsidRPr="008E781C">
        <w:rPr>
          <w:color w:val="000000" w:themeColor="text1"/>
          <w:lang w:val="en-GB"/>
        </w:rPr>
        <w:t xml:space="preserve"> includes </w:t>
      </w:r>
      <w:r w:rsidRPr="008E781C">
        <w:rPr>
          <w:b/>
          <w:color w:val="000000" w:themeColor="text1"/>
          <w:lang w:val="en-GB"/>
        </w:rPr>
        <w:t>rules on the internationalisation of the Spanish economy</w:t>
      </w:r>
      <w:r w:rsidRPr="008E781C">
        <w:rPr>
          <w:color w:val="000000" w:themeColor="text1"/>
          <w:lang w:val="en-GB"/>
        </w:rPr>
        <w:t xml:space="preserve">. </w:t>
      </w:r>
      <w:r w:rsidR="009B3BF5" w:rsidRPr="008E781C">
        <w:rPr>
          <w:color w:val="000000" w:themeColor="text1"/>
          <w:lang w:val="en-GB"/>
        </w:rPr>
        <w:t>This Title V</w:t>
      </w:r>
      <w:r w:rsidR="00A37774" w:rsidRPr="008E781C">
        <w:rPr>
          <w:color w:val="000000" w:themeColor="text1"/>
          <w:lang w:val="en-GB"/>
        </w:rPr>
        <w:t xml:space="preserve"> is d</w:t>
      </w:r>
      <w:r w:rsidRPr="008E781C">
        <w:rPr>
          <w:color w:val="000000" w:themeColor="text1"/>
          <w:lang w:val="en-GB"/>
        </w:rPr>
        <w:t>ivided into two sections, the first one on encouraging internationalisation</w:t>
      </w:r>
      <w:r w:rsidR="00A37774" w:rsidRPr="008E781C">
        <w:rPr>
          <w:color w:val="000000" w:themeColor="text1"/>
          <w:lang w:val="en-GB"/>
        </w:rPr>
        <w:t xml:space="preserve"> and the second on international mobility, regulating specific cases in which the granting of visas and residence </w:t>
      </w:r>
      <w:r w:rsidR="00DD615B" w:rsidRPr="008E781C">
        <w:rPr>
          <w:color w:val="000000" w:themeColor="text1"/>
          <w:lang w:val="en-GB"/>
        </w:rPr>
        <w:t xml:space="preserve">authorisations </w:t>
      </w:r>
      <w:r w:rsidR="00A37774" w:rsidRPr="008E781C">
        <w:rPr>
          <w:color w:val="000000" w:themeColor="text1"/>
          <w:lang w:val="en-GB"/>
        </w:rPr>
        <w:t xml:space="preserve">is </w:t>
      </w:r>
      <w:bookmarkStart w:id="4" w:name="_GoBack"/>
      <w:r w:rsidR="00A37774" w:rsidRPr="008E781C">
        <w:rPr>
          <w:color w:val="000000" w:themeColor="text1"/>
          <w:lang w:val="en-GB"/>
        </w:rPr>
        <w:t>facilitated</w:t>
      </w:r>
      <w:bookmarkEnd w:id="4"/>
      <w:r w:rsidR="00A37774" w:rsidRPr="008E781C">
        <w:rPr>
          <w:color w:val="000000" w:themeColor="text1"/>
          <w:lang w:val="en-GB"/>
        </w:rPr>
        <w:t xml:space="preserve"> and streamlined for economic interest reasons. </w:t>
      </w:r>
      <w:r w:rsidRPr="008E781C">
        <w:rPr>
          <w:color w:val="000000" w:themeColor="text1"/>
          <w:lang w:val="en-GB"/>
        </w:rPr>
        <w:t xml:space="preserve">Title V specifically dedicates </w:t>
      </w:r>
      <w:r w:rsidRPr="008E781C">
        <w:rPr>
          <w:b/>
          <w:color w:val="000000" w:themeColor="text1"/>
          <w:lang w:val="en-GB"/>
        </w:rPr>
        <w:t>Chapter II</w:t>
      </w:r>
      <w:r w:rsidR="00A37774" w:rsidRPr="008E781C">
        <w:rPr>
          <w:b/>
          <w:color w:val="000000" w:themeColor="text1"/>
          <w:lang w:val="en-GB"/>
        </w:rPr>
        <w:t xml:space="preserve"> of the second section</w:t>
      </w:r>
      <w:r w:rsidRPr="008E781C">
        <w:rPr>
          <w:b/>
          <w:color w:val="000000" w:themeColor="text1"/>
          <w:lang w:val="en-GB"/>
        </w:rPr>
        <w:t xml:space="preserve"> (Articles 63-67) to investors (</w:t>
      </w:r>
      <w:r w:rsidRPr="008E781C">
        <w:rPr>
          <w:b/>
          <w:i/>
          <w:color w:val="000000" w:themeColor="text1"/>
          <w:lang w:val="en-GB"/>
        </w:rPr>
        <w:t>inversores</w:t>
      </w:r>
      <w:r w:rsidRPr="008E781C">
        <w:rPr>
          <w:b/>
          <w:color w:val="000000" w:themeColor="text1"/>
          <w:lang w:val="en-GB"/>
        </w:rPr>
        <w:t>)</w:t>
      </w:r>
      <w:r w:rsidRPr="008E781C">
        <w:rPr>
          <w:color w:val="000000" w:themeColor="text1"/>
          <w:lang w:val="en-GB"/>
        </w:rPr>
        <w:t>, setting the rules for, inter alia, the residence permit</w:t>
      </w:r>
      <w:r w:rsidR="00DD615B" w:rsidRPr="008E781C">
        <w:rPr>
          <w:rStyle w:val="FootnoteReference"/>
          <w:color w:val="000000" w:themeColor="text1"/>
          <w:lang w:val="en-GB"/>
        </w:rPr>
        <w:footnoteReference w:id="6"/>
      </w:r>
      <w:r w:rsidRPr="008E781C">
        <w:rPr>
          <w:color w:val="000000" w:themeColor="text1"/>
          <w:lang w:val="en-GB"/>
        </w:rPr>
        <w:t xml:space="preserve"> </w:t>
      </w:r>
      <w:r w:rsidR="00A37F46" w:rsidRPr="008E781C">
        <w:rPr>
          <w:color w:val="000000" w:themeColor="text1"/>
          <w:lang w:val="en-GB"/>
        </w:rPr>
        <w:t>they can apply for</w:t>
      </w:r>
      <w:r w:rsidRPr="008E781C">
        <w:rPr>
          <w:color w:val="000000" w:themeColor="text1"/>
          <w:lang w:val="en-GB"/>
        </w:rPr>
        <w:t>.</w:t>
      </w:r>
    </w:p>
    <w:p w14:paraId="3D4BA5AE" w14:textId="1A1FDFA0" w:rsidR="008A160E" w:rsidRPr="008E781C" w:rsidRDefault="008A160E" w:rsidP="00B02F25">
      <w:pPr>
        <w:pStyle w:val="MMultilevel"/>
        <w:numPr>
          <w:ilvl w:val="0"/>
          <w:numId w:val="0"/>
        </w:numPr>
        <w:rPr>
          <w:b/>
          <w:i/>
          <w:color w:val="000000" w:themeColor="text1"/>
          <w:lang w:val="en-GB"/>
        </w:rPr>
      </w:pPr>
    </w:p>
    <w:p w14:paraId="53D2C7AE" w14:textId="3126D809" w:rsidR="008A160E" w:rsidRPr="008E781C" w:rsidRDefault="008A160E" w:rsidP="00B02F25">
      <w:pPr>
        <w:pStyle w:val="MMultilevel"/>
        <w:numPr>
          <w:ilvl w:val="0"/>
          <w:numId w:val="0"/>
        </w:numPr>
        <w:rPr>
          <w:color w:val="000000" w:themeColor="text1"/>
          <w:lang w:val="en-GB"/>
        </w:rPr>
      </w:pPr>
      <w:r w:rsidRPr="008E781C">
        <w:rPr>
          <w:b/>
          <w:color w:val="000000" w:themeColor="text1"/>
          <w:lang w:val="en-GB"/>
        </w:rPr>
        <w:t>Before the adoption of Law 14/2013, there was no specific legislation applicable to investors</w:t>
      </w:r>
      <w:r w:rsidRPr="008E781C">
        <w:rPr>
          <w:color w:val="000000" w:themeColor="text1"/>
          <w:lang w:val="en-GB"/>
        </w:rPr>
        <w:t xml:space="preserve">, adapting to their needs and </w:t>
      </w:r>
      <w:r w:rsidR="007672DD" w:rsidRPr="008E781C">
        <w:rPr>
          <w:color w:val="000000" w:themeColor="text1"/>
          <w:lang w:val="en-GB"/>
        </w:rPr>
        <w:t>specific characteristics</w:t>
      </w:r>
      <w:r w:rsidRPr="008E781C">
        <w:rPr>
          <w:color w:val="000000" w:themeColor="text1"/>
          <w:lang w:val="en-GB"/>
        </w:rPr>
        <w:t xml:space="preserve">. Therefore, </w:t>
      </w:r>
      <w:r w:rsidR="007672DD" w:rsidRPr="008E781C">
        <w:rPr>
          <w:color w:val="000000" w:themeColor="text1"/>
          <w:lang w:val="en-GB"/>
        </w:rPr>
        <w:t>foreign investors who wished to enter and reside in Spain before Law 14/2013 had to resort to the rules of</w:t>
      </w:r>
      <w:r w:rsidRPr="008E781C">
        <w:rPr>
          <w:color w:val="000000" w:themeColor="text1"/>
          <w:lang w:val="en-GB"/>
        </w:rPr>
        <w:t xml:space="preserve"> the</w:t>
      </w:r>
      <w:r w:rsidR="00B073A6" w:rsidRPr="008E781C">
        <w:rPr>
          <w:color w:val="000000" w:themeColor="text1"/>
          <w:lang w:val="en-GB"/>
        </w:rPr>
        <w:t xml:space="preserve"> general legislation on the rights and freedoms of foreigners in Spain and their social integration</w:t>
      </w:r>
      <w:r w:rsidR="007904FC" w:rsidRPr="008E781C">
        <w:rPr>
          <w:color w:val="000000" w:themeColor="text1"/>
          <w:lang w:val="en-GB"/>
        </w:rPr>
        <w:t xml:space="preserve"> (</w:t>
      </w:r>
      <w:r w:rsidR="007672DD" w:rsidRPr="008E781C">
        <w:rPr>
          <w:color w:val="000000" w:themeColor="text1"/>
          <w:lang w:val="en-GB"/>
        </w:rPr>
        <w:t xml:space="preserve">the </w:t>
      </w:r>
      <w:r w:rsidR="009B3BF5" w:rsidRPr="008E781C">
        <w:rPr>
          <w:color w:val="000000" w:themeColor="text1"/>
          <w:lang w:val="en-GB"/>
        </w:rPr>
        <w:t>Spanish l</w:t>
      </w:r>
      <w:r w:rsidR="002B399D" w:rsidRPr="008E781C">
        <w:rPr>
          <w:color w:val="000000" w:themeColor="text1"/>
          <w:lang w:val="en-GB"/>
        </w:rPr>
        <w:t>aw on aliens</w:t>
      </w:r>
      <w:r w:rsidR="007672DD" w:rsidRPr="008E781C">
        <w:rPr>
          <w:color w:val="000000" w:themeColor="text1"/>
          <w:lang w:val="en-GB"/>
        </w:rPr>
        <w:t>,</w:t>
      </w:r>
      <w:r w:rsidR="00D71726" w:rsidRPr="008E781C">
        <w:rPr>
          <w:color w:val="000000" w:themeColor="text1"/>
          <w:lang w:val="en-GB"/>
        </w:rPr>
        <w:t xml:space="preserve"> Organic Law 4/2000</w:t>
      </w:r>
      <w:r w:rsidR="00942CA0" w:rsidRPr="008E781C">
        <w:rPr>
          <w:color w:val="000000" w:themeColor="text1"/>
          <w:lang w:val="en-GB"/>
        </w:rPr>
        <w:t>, LOEX</w:t>
      </w:r>
      <w:r w:rsidR="002B399D" w:rsidRPr="008E781C">
        <w:rPr>
          <w:color w:val="000000" w:themeColor="text1"/>
          <w:lang w:val="en-GB"/>
        </w:rPr>
        <w:t>)</w:t>
      </w:r>
      <w:r w:rsidR="00B073A6" w:rsidRPr="008E781C">
        <w:rPr>
          <w:color w:val="000000" w:themeColor="text1"/>
          <w:lang w:val="en-GB"/>
        </w:rPr>
        <w:t>.</w:t>
      </w:r>
      <w:r w:rsidR="001A7351" w:rsidRPr="008E781C">
        <w:rPr>
          <w:rStyle w:val="FootnoteReference"/>
          <w:color w:val="000000" w:themeColor="text1"/>
          <w:lang w:val="en-GB"/>
        </w:rPr>
        <w:footnoteReference w:id="7"/>
      </w:r>
      <w:r w:rsidR="00B073A6" w:rsidRPr="008E781C">
        <w:rPr>
          <w:color w:val="000000" w:themeColor="text1"/>
          <w:lang w:val="en-GB"/>
        </w:rPr>
        <w:t xml:space="preserve"> In particular, </w:t>
      </w:r>
      <w:r w:rsidR="001A7351" w:rsidRPr="008E781C">
        <w:rPr>
          <w:color w:val="000000" w:themeColor="text1"/>
          <w:lang w:val="en-GB"/>
        </w:rPr>
        <w:t xml:space="preserve">investors fell under the framework of </w:t>
      </w:r>
      <w:r w:rsidRPr="008E781C">
        <w:rPr>
          <w:b/>
          <w:color w:val="000000" w:themeColor="text1"/>
          <w:lang w:val="en-GB"/>
        </w:rPr>
        <w:t>residence permit</w:t>
      </w:r>
      <w:r w:rsidR="001A7351" w:rsidRPr="008E781C">
        <w:rPr>
          <w:b/>
          <w:color w:val="000000" w:themeColor="text1"/>
          <w:lang w:val="en-GB"/>
        </w:rPr>
        <w:t>s</w:t>
      </w:r>
      <w:r w:rsidRPr="008E781C">
        <w:rPr>
          <w:b/>
          <w:color w:val="000000" w:themeColor="text1"/>
          <w:lang w:val="en-GB"/>
        </w:rPr>
        <w:t xml:space="preserve"> for non-</w:t>
      </w:r>
      <w:r w:rsidRPr="008E781C">
        <w:rPr>
          <w:b/>
          <w:color w:val="000000" w:themeColor="text1"/>
          <w:lang w:val="en-GB"/>
        </w:rPr>
        <w:lastRenderedPageBreak/>
        <w:t>profit activities</w:t>
      </w:r>
      <w:r w:rsidR="00B073A6" w:rsidRPr="008E781C">
        <w:rPr>
          <w:color w:val="000000" w:themeColor="text1"/>
          <w:lang w:val="en-GB"/>
        </w:rPr>
        <w:t xml:space="preserve"> which, </w:t>
      </w:r>
      <w:r w:rsidR="001A7351" w:rsidRPr="008E781C">
        <w:rPr>
          <w:color w:val="000000" w:themeColor="text1"/>
          <w:lang w:val="en-GB"/>
        </w:rPr>
        <w:t>inter alia</w:t>
      </w:r>
      <w:r w:rsidR="00B073A6" w:rsidRPr="008E781C">
        <w:rPr>
          <w:color w:val="000000" w:themeColor="text1"/>
          <w:lang w:val="en-GB"/>
        </w:rPr>
        <w:t>, required continued physical presence in Spain.</w:t>
      </w:r>
      <w:r w:rsidR="00B073A6" w:rsidRPr="008E781C">
        <w:rPr>
          <w:rStyle w:val="FootnoteReference"/>
          <w:color w:val="000000" w:themeColor="text1"/>
          <w:lang w:val="en-GB"/>
        </w:rPr>
        <w:footnoteReference w:id="8"/>
      </w:r>
    </w:p>
    <w:p w14:paraId="0B3E4969" w14:textId="2927A4D9" w:rsidR="005F1A1E" w:rsidRPr="008E781C" w:rsidRDefault="005F1A1E" w:rsidP="00B02F25">
      <w:pPr>
        <w:pStyle w:val="MMultilevel"/>
        <w:numPr>
          <w:ilvl w:val="0"/>
          <w:numId w:val="0"/>
        </w:numPr>
        <w:rPr>
          <w:color w:val="000000" w:themeColor="text1"/>
          <w:lang w:val="en-GB"/>
        </w:rPr>
      </w:pPr>
    </w:p>
    <w:p w14:paraId="70EBE8ED" w14:textId="5D927AF9" w:rsidR="00027DA9" w:rsidRPr="008E781C" w:rsidRDefault="007672DD" w:rsidP="00B02F25">
      <w:pPr>
        <w:pStyle w:val="MMultilevel"/>
        <w:numPr>
          <w:ilvl w:val="0"/>
          <w:numId w:val="0"/>
        </w:numPr>
        <w:rPr>
          <w:color w:val="000000" w:themeColor="text1"/>
          <w:lang w:val="en-GB"/>
        </w:rPr>
      </w:pPr>
      <w:r w:rsidRPr="008E781C">
        <w:rPr>
          <w:color w:val="000000" w:themeColor="text1"/>
          <w:lang w:val="en-GB"/>
        </w:rPr>
        <w:t xml:space="preserve">With </w:t>
      </w:r>
      <w:r w:rsidR="00027DA9" w:rsidRPr="008E781C">
        <w:rPr>
          <w:color w:val="000000" w:themeColor="text1"/>
          <w:lang w:val="en-GB"/>
        </w:rPr>
        <w:t>Law 14/2013</w:t>
      </w:r>
      <w:r w:rsidRPr="008E781C">
        <w:rPr>
          <w:color w:val="000000" w:themeColor="text1"/>
          <w:lang w:val="en-GB"/>
        </w:rPr>
        <w:t>,</w:t>
      </w:r>
      <w:r w:rsidR="00027DA9" w:rsidRPr="008E781C">
        <w:rPr>
          <w:color w:val="000000" w:themeColor="text1"/>
          <w:lang w:val="en-GB"/>
        </w:rPr>
        <w:t xml:space="preserve"> </w:t>
      </w:r>
      <w:r w:rsidRPr="008E781C">
        <w:rPr>
          <w:color w:val="000000" w:themeColor="text1"/>
          <w:lang w:val="en-GB"/>
        </w:rPr>
        <w:t>foreign investors can now apply to</w:t>
      </w:r>
      <w:r w:rsidR="00027DA9" w:rsidRPr="008E781C">
        <w:rPr>
          <w:color w:val="000000" w:themeColor="text1"/>
          <w:lang w:val="en-GB"/>
        </w:rPr>
        <w:t xml:space="preserve"> two specific types of residence permits:</w:t>
      </w:r>
    </w:p>
    <w:p w14:paraId="5AAA9C40" w14:textId="78BCC1C5" w:rsidR="00027DA9" w:rsidRPr="008E781C" w:rsidRDefault="00027DA9" w:rsidP="00780C3C">
      <w:pPr>
        <w:pStyle w:val="MMultilevel"/>
        <w:numPr>
          <w:ilvl w:val="0"/>
          <w:numId w:val="58"/>
        </w:numPr>
        <w:ind w:left="426"/>
        <w:rPr>
          <w:color w:val="000000" w:themeColor="text1"/>
          <w:lang w:val="en-GB"/>
        </w:rPr>
      </w:pPr>
      <w:r w:rsidRPr="008E781C">
        <w:rPr>
          <w:color w:val="000000" w:themeColor="text1"/>
          <w:lang w:val="en-GB"/>
        </w:rPr>
        <w:t xml:space="preserve">An </w:t>
      </w:r>
      <w:r w:rsidRPr="008E781C">
        <w:rPr>
          <w:b/>
          <w:color w:val="000000" w:themeColor="text1"/>
          <w:lang w:val="en-GB"/>
        </w:rPr>
        <w:t>investors’ residence visa</w:t>
      </w:r>
      <w:r w:rsidRPr="008E781C">
        <w:rPr>
          <w:color w:val="000000" w:themeColor="text1"/>
          <w:lang w:val="en-GB"/>
        </w:rPr>
        <w:t>;</w:t>
      </w:r>
      <w:r w:rsidRPr="008E781C">
        <w:rPr>
          <w:rStyle w:val="FootnoteReference"/>
          <w:color w:val="000000" w:themeColor="text1"/>
          <w:lang w:val="en-GB"/>
        </w:rPr>
        <w:footnoteReference w:id="9"/>
      </w:r>
      <w:r w:rsidRPr="008E781C">
        <w:rPr>
          <w:color w:val="000000" w:themeColor="text1"/>
          <w:lang w:val="en-GB"/>
        </w:rPr>
        <w:t xml:space="preserve"> and</w:t>
      </w:r>
    </w:p>
    <w:p w14:paraId="4E05B6EF" w14:textId="57848AD5" w:rsidR="00027DA9" w:rsidRPr="008E781C" w:rsidRDefault="00027DA9" w:rsidP="00780C3C">
      <w:pPr>
        <w:pStyle w:val="MMultilevel"/>
        <w:numPr>
          <w:ilvl w:val="0"/>
          <w:numId w:val="58"/>
        </w:numPr>
        <w:ind w:left="426"/>
        <w:rPr>
          <w:color w:val="000000" w:themeColor="text1"/>
          <w:lang w:val="en-GB"/>
        </w:rPr>
      </w:pPr>
      <w:r w:rsidRPr="008E781C">
        <w:rPr>
          <w:color w:val="000000" w:themeColor="text1"/>
          <w:lang w:val="en-GB"/>
        </w:rPr>
        <w:t xml:space="preserve">A </w:t>
      </w:r>
      <w:r w:rsidRPr="008E781C">
        <w:rPr>
          <w:b/>
          <w:color w:val="000000" w:themeColor="text1"/>
          <w:lang w:val="en-GB"/>
        </w:rPr>
        <w:t>residence authorisation for investors</w:t>
      </w:r>
      <w:r w:rsidRPr="008E781C">
        <w:rPr>
          <w:color w:val="000000" w:themeColor="text1"/>
          <w:lang w:val="en-GB"/>
        </w:rPr>
        <w:t xml:space="preserve"> (referred to in this Report also as investors’ residence authorisation</w:t>
      </w:r>
      <w:r w:rsidR="007672DD" w:rsidRPr="008E781C">
        <w:rPr>
          <w:color w:val="000000" w:themeColor="text1"/>
          <w:lang w:val="en-GB"/>
        </w:rPr>
        <w:t>)</w:t>
      </w:r>
      <w:r w:rsidRPr="008E781C">
        <w:rPr>
          <w:color w:val="000000" w:themeColor="text1"/>
          <w:lang w:val="en-GB"/>
        </w:rPr>
        <w:t>.</w:t>
      </w:r>
      <w:r w:rsidRPr="008E781C">
        <w:rPr>
          <w:rStyle w:val="FootnoteReference"/>
          <w:color w:val="000000" w:themeColor="text1"/>
          <w:lang w:val="en-GB"/>
        </w:rPr>
        <w:footnoteReference w:id="10"/>
      </w:r>
    </w:p>
    <w:p w14:paraId="4F80E152" w14:textId="626ECB80" w:rsidR="00027DA9" w:rsidRPr="008E781C" w:rsidRDefault="00027DA9" w:rsidP="00027DA9">
      <w:pPr>
        <w:pStyle w:val="MMultilevel"/>
        <w:numPr>
          <w:ilvl w:val="0"/>
          <w:numId w:val="0"/>
        </w:numPr>
        <w:ind w:left="425" w:hanging="425"/>
        <w:rPr>
          <w:color w:val="000000" w:themeColor="text1"/>
          <w:lang w:val="en-GB"/>
        </w:rPr>
      </w:pPr>
    </w:p>
    <w:p w14:paraId="4F81E6BC" w14:textId="4789E6E0" w:rsidR="00027DA9" w:rsidRPr="008E781C" w:rsidRDefault="00027DA9">
      <w:pPr>
        <w:pStyle w:val="MMultilevel"/>
        <w:numPr>
          <w:ilvl w:val="0"/>
          <w:numId w:val="0"/>
        </w:numPr>
        <w:rPr>
          <w:color w:val="000000" w:themeColor="text1"/>
          <w:lang w:val="en-GB"/>
        </w:rPr>
      </w:pPr>
      <w:r w:rsidRPr="008E781C">
        <w:rPr>
          <w:color w:val="000000" w:themeColor="text1"/>
          <w:lang w:val="en-GB"/>
        </w:rPr>
        <w:t>While the visa is necessary for the entry of the foreign investor in the Spanish territory,</w:t>
      </w:r>
      <w:r w:rsidRPr="008E781C">
        <w:rPr>
          <w:rStyle w:val="FootnoteReference"/>
          <w:color w:val="000000" w:themeColor="text1"/>
          <w:lang w:val="en-GB"/>
        </w:rPr>
        <w:footnoteReference w:id="11"/>
      </w:r>
      <w:r w:rsidRPr="008E781C">
        <w:rPr>
          <w:color w:val="000000" w:themeColor="text1"/>
          <w:lang w:val="en-GB"/>
        </w:rPr>
        <w:t xml:space="preserve"> the residence authorisation is applied once the foreign investor has already entered the Spanish territory and is legally residing therein.</w:t>
      </w:r>
      <w:r w:rsidRPr="008E781C">
        <w:rPr>
          <w:rStyle w:val="FootnoteReference"/>
          <w:color w:val="000000" w:themeColor="text1"/>
          <w:lang w:val="en-GB"/>
        </w:rPr>
        <w:footnoteReference w:id="12"/>
      </w:r>
      <w:r w:rsidRPr="008E781C">
        <w:rPr>
          <w:color w:val="000000" w:themeColor="text1"/>
          <w:lang w:val="en-GB"/>
        </w:rPr>
        <w:t xml:space="preserve"> The </w:t>
      </w:r>
      <w:r w:rsidRPr="008E781C">
        <w:rPr>
          <w:b/>
          <w:color w:val="000000" w:themeColor="text1"/>
          <w:lang w:val="en-GB"/>
        </w:rPr>
        <w:t>procedures and conditions</w:t>
      </w:r>
      <w:r w:rsidRPr="008E781C">
        <w:rPr>
          <w:color w:val="000000" w:themeColor="text1"/>
          <w:lang w:val="en-GB"/>
        </w:rPr>
        <w:t xml:space="preserve"> to apply for and obtain these, as well as the differences between these permits are further detailed in </w:t>
      </w:r>
      <w:r w:rsidRPr="008E781C">
        <w:rPr>
          <w:b/>
          <w:color w:val="000000" w:themeColor="text1"/>
          <w:lang w:val="en-GB"/>
        </w:rPr>
        <w:t>Section II</w:t>
      </w:r>
      <w:r w:rsidRPr="008E781C">
        <w:rPr>
          <w:color w:val="000000" w:themeColor="text1"/>
          <w:lang w:val="en-GB"/>
        </w:rPr>
        <w:t xml:space="preserve"> of this Report.</w:t>
      </w:r>
      <w:r w:rsidR="00FB017F" w:rsidRPr="008E781C">
        <w:rPr>
          <w:color w:val="000000" w:themeColor="text1"/>
          <w:lang w:val="en-GB"/>
        </w:rPr>
        <w:t xml:space="preserve"> It should be noted that the foreign investor can also enter the Spanish territory by requesting and applying for a </w:t>
      </w:r>
      <w:r w:rsidR="00FB017F" w:rsidRPr="008E781C">
        <w:rPr>
          <w:b/>
          <w:color w:val="000000" w:themeColor="text1"/>
          <w:lang w:val="en-GB"/>
        </w:rPr>
        <w:t>stay visa</w:t>
      </w:r>
      <w:r w:rsidR="00FB017F" w:rsidRPr="008E781C">
        <w:rPr>
          <w:color w:val="000000" w:themeColor="text1"/>
          <w:lang w:val="en-GB"/>
        </w:rPr>
        <w:t>.</w:t>
      </w:r>
      <w:r w:rsidR="00FB017F" w:rsidRPr="008E781C">
        <w:rPr>
          <w:rStyle w:val="FootnoteReference"/>
          <w:color w:val="000000" w:themeColor="text1"/>
          <w:lang w:val="en-GB"/>
        </w:rPr>
        <w:footnoteReference w:id="13"/>
      </w:r>
      <w:r w:rsidR="00FB017F" w:rsidRPr="008E781C">
        <w:rPr>
          <w:color w:val="000000" w:themeColor="text1"/>
          <w:lang w:val="en-GB"/>
        </w:rPr>
        <w:t xml:space="preserve"> However, the requirements and procedure for this are not specific to investors; rather, any third-country national </w:t>
      </w:r>
      <w:r w:rsidR="00A37F46" w:rsidRPr="008E781C">
        <w:rPr>
          <w:color w:val="000000" w:themeColor="text1"/>
          <w:lang w:val="en-GB"/>
        </w:rPr>
        <w:t>wishing</w:t>
      </w:r>
      <w:r w:rsidR="00FB017F" w:rsidRPr="008E781C">
        <w:rPr>
          <w:color w:val="000000" w:themeColor="text1"/>
          <w:lang w:val="en-GB"/>
        </w:rPr>
        <w:t xml:space="preserve"> to enter the Spanish territory and </w:t>
      </w:r>
      <w:r w:rsidR="00A37F46" w:rsidRPr="008E781C">
        <w:rPr>
          <w:color w:val="000000" w:themeColor="text1"/>
          <w:lang w:val="en-GB"/>
        </w:rPr>
        <w:t>requiring</w:t>
      </w:r>
      <w:r w:rsidR="00FB017F" w:rsidRPr="008E781C">
        <w:rPr>
          <w:color w:val="000000" w:themeColor="text1"/>
          <w:lang w:val="en-GB"/>
        </w:rPr>
        <w:t xml:space="preserve"> a visa to do so can apply for this type of visa. Therefore, the procedure and conditions to apply and obtain a stay visa are not covered in this Report, as these are not waived or facilitated especially for investors and, thus, does not constitute an investors’ residence programme </w:t>
      </w:r>
      <w:r w:rsidR="00A37F46" w:rsidRPr="008E781C">
        <w:rPr>
          <w:color w:val="000000" w:themeColor="text1"/>
          <w:lang w:val="en-GB"/>
        </w:rPr>
        <w:t xml:space="preserve">within </w:t>
      </w:r>
      <w:r w:rsidR="00FB017F" w:rsidRPr="008E781C">
        <w:rPr>
          <w:color w:val="000000" w:themeColor="text1"/>
          <w:lang w:val="en-GB"/>
        </w:rPr>
        <w:t>the scope of this Report.</w:t>
      </w:r>
    </w:p>
    <w:p w14:paraId="1BD14C23" w14:textId="77777777" w:rsidR="00027DA9" w:rsidRPr="008E781C" w:rsidRDefault="00027DA9" w:rsidP="00B02F25">
      <w:pPr>
        <w:pStyle w:val="MMultilevel"/>
        <w:numPr>
          <w:ilvl w:val="0"/>
          <w:numId w:val="0"/>
        </w:numPr>
        <w:rPr>
          <w:color w:val="000000" w:themeColor="text1"/>
          <w:lang w:val="en-GB"/>
        </w:rPr>
      </w:pPr>
    </w:p>
    <w:p w14:paraId="71B4C41B" w14:textId="2A9FE8C8" w:rsidR="005F1A1E" w:rsidRPr="008E781C" w:rsidRDefault="005F1A1E" w:rsidP="00B02F25">
      <w:pPr>
        <w:pStyle w:val="MMultilevel"/>
        <w:numPr>
          <w:ilvl w:val="0"/>
          <w:numId w:val="0"/>
        </w:numPr>
        <w:rPr>
          <w:color w:val="000000" w:themeColor="text1"/>
          <w:lang w:val="en-GB"/>
        </w:rPr>
      </w:pPr>
      <w:r w:rsidRPr="008E781C">
        <w:rPr>
          <w:color w:val="000000" w:themeColor="text1"/>
          <w:lang w:val="en-GB"/>
        </w:rPr>
        <w:t xml:space="preserve">Law 14/2013 was </w:t>
      </w:r>
      <w:r w:rsidRPr="008E781C">
        <w:rPr>
          <w:b/>
          <w:color w:val="000000" w:themeColor="text1"/>
          <w:lang w:val="en-GB"/>
        </w:rPr>
        <w:t>modified by the Eleventh Final Provision of Law 25/2015</w:t>
      </w:r>
      <w:r w:rsidR="00A37F46" w:rsidRPr="008E781C">
        <w:rPr>
          <w:color w:val="000000" w:themeColor="text1"/>
          <w:lang w:val="en-GB"/>
        </w:rPr>
        <w:t>.</w:t>
      </w:r>
      <w:r w:rsidRPr="008E781C">
        <w:rPr>
          <w:rStyle w:val="FootnoteReference"/>
          <w:color w:val="000000" w:themeColor="text1"/>
          <w:lang w:val="en-GB"/>
        </w:rPr>
        <w:footnoteReference w:id="14"/>
      </w:r>
      <w:r w:rsidRPr="008E781C">
        <w:rPr>
          <w:color w:val="000000" w:themeColor="text1"/>
          <w:lang w:val="en-GB"/>
        </w:rPr>
        <w:t xml:space="preserve"> </w:t>
      </w:r>
      <w:r w:rsidR="006B4EF7" w:rsidRPr="008E781C">
        <w:rPr>
          <w:color w:val="000000" w:themeColor="text1"/>
          <w:lang w:val="en-GB"/>
        </w:rPr>
        <w:t>The amendments</w:t>
      </w:r>
      <w:r w:rsidR="007672DD" w:rsidRPr="008E781C">
        <w:rPr>
          <w:color w:val="000000" w:themeColor="text1"/>
          <w:lang w:val="en-GB"/>
        </w:rPr>
        <w:t xml:space="preserve"> introduced by the said Provision</w:t>
      </w:r>
      <w:r w:rsidR="006B4EF7" w:rsidRPr="008E781C">
        <w:rPr>
          <w:color w:val="000000" w:themeColor="text1"/>
          <w:lang w:val="en-GB"/>
        </w:rPr>
        <w:t xml:space="preserve"> </w:t>
      </w:r>
      <w:r w:rsidR="00FE680D" w:rsidRPr="008E781C">
        <w:rPr>
          <w:color w:val="000000" w:themeColor="text1"/>
          <w:lang w:val="en-GB"/>
        </w:rPr>
        <w:t>aim</w:t>
      </w:r>
      <w:r w:rsidR="00A37F46" w:rsidRPr="008E781C">
        <w:rPr>
          <w:color w:val="000000" w:themeColor="text1"/>
          <w:lang w:val="en-GB"/>
        </w:rPr>
        <w:t>ed</w:t>
      </w:r>
      <w:r w:rsidR="006B4EF7" w:rsidRPr="008E781C">
        <w:rPr>
          <w:color w:val="000000" w:themeColor="text1"/>
          <w:lang w:val="en-GB"/>
        </w:rPr>
        <w:t xml:space="preserve"> to ease</w:t>
      </w:r>
      <w:r w:rsidR="00FE680D" w:rsidRPr="008E781C">
        <w:rPr>
          <w:color w:val="000000" w:themeColor="text1"/>
          <w:lang w:val="en-GB"/>
        </w:rPr>
        <w:t xml:space="preserve"> and speed up</w:t>
      </w:r>
      <w:r w:rsidR="006B4EF7" w:rsidRPr="008E781C">
        <w:rPr>
          <w:color w:val="000000" w:themeColor="text1"/>
          <w:lang w:val="en-GB"/>
        </w:rPr>
        <w:t xml:space="preserve"> </w:t>
      </w:r>
      <w:r w:rsidR="00853E68" w:rsidRPr="008E781C">
        <w:rPr>
          <w:color w:val="000000" w:themeColor="text1"/>
          <w:lang w:val="en-GB"/>
        </w:rPr>
        <w:t>the procedure</w:t>
      </w:r>
      <w:r w:rsidR="00FE680D" w:rsidRPr="008E781C">
        <w:rPr>
          <w:color w:val="000000" w:themeColor="text1"/>
          <w:lang w:val="en-GB"/>
        </w:rPr>
        <w:t xml:space="preserve"> by introducing, inter alia</w:t>
      </w:r>
      <w:r w:rsidR="00A37F46" w:rsidRPr="008E781C">
        <w:rPr>
          <w:color w:val="000000" w:themeColor="text1"/>
          <w:lang w:val="en-GB"/>
        </w:rPr>
        <w:t>:</w:t>
      </w:r>
      <w:r w:rsidR="00FE680D" w:rsidRPr="008E781C">
        <w:rPr>
          <w:color w:val="000000" w:themeColor="text1"/>
          <w:lang w:val="en-GB"/>
        </w:rPr>
        <w:t xml:space="preserve"> the</w:t>
      </w:r>
      <w:r w:rsidR="00853E68" w:rsidRPr="008E781C">
        <w:rPr>
          <w:color w:val="000000" w:themeColor="text1"/>
          <w:lang w:val="en-GB"/>
        </w:rPr>
        <w:t xml:space="preserve"> possibility of applying </w:t>
      </w:r>
      <w:r w:rsidR="00A37F46" w:rsidRPr="008E781C">
        <w:rPr>
          <w:color w:val="000000" w:themeColor="text1"/>
          <w:lang w:val="en-GB"/>
        </w:rPr>
        <w:t xml:space="preserve">for </w:t>
      </w:r>
      <w:r w:rsidR="00853E68" w:rsidRPr="008E781C">
        <w:rPr>
          <w:color w:val="000000" w:themeColor="text1"/>
          <w:lang w:val="en-GB"/>
        </w:rPr>
        <w:t>the</w:t>
      </w:r>
      <w:r w:rsidR="00E04592" w:rsidRPr="008E781C">
        <w:rPr>
          <w:color w:val="000000" w:themeColor="text1"/>
          <w:lang w:val="en-GB"/>
        </w:rPr>
        <w:t xml:space="preserve"> investors’</w:t>
      </w:r>
      <w:r w:rsidR="00853E68" w:rsidRPr="008E781C">
        <w:rPr>
          <w:color w:val="000000" w:themeColor="text1"/>
          <w:lang w:val="en-GB"/>
        </w:rPr>
        <w:t xml:space="preserve"> residence authorisation when already residing in Spain and without the </w:t>
      </w:r>
      <w:r w:rsidR="00A37F46" w:rsidRPr="008E781C">
        <w:rPr>
          <w:color w:val="000000" w:themeColor="text1"/>
          <w:lang w:val="en-GB"/>
        </w:rPr>
        <w:t>requirement to already have</w:t>
      </w:r>
      <w:r w:rsidR="009B3BF5" w:rsidRPr="008E781C">
        <w:rPr>
          <w:color w:val="000000" w:themeColor="text1"/>
          <w:lang w:val="en-GB"/>
        </w:rPr>
        <w:t xml:space="preserve"> an </w:t>
      </w:r>
      <w:r w:rsidR="00853E68" w:rsidRPr="008E781C">
        <w:rPr>
          <w:color w:val="000000" w:themeColor="text1"/>
          <w:lang w:val="en-GB"/>
        </w:rPr>
        <w:t>investors</w:t>
      </w:r>
      <w:r w:rsidR="00B92B66" w:rsidRPr="008E781C">
        <w:rPr>
          <w:color w:val="000000" w:themeColor="text1"/>
          <w:lang w:val="en-GB"/>
        </w:rPr>
        <w:t>’ residence</w:t>
      </w:r>
      <w:r w:rsidR="00853E68" w:rsidRPr="008E781C">
        <w:rPr>
          <w:color w:val="000000" w:themeColor="text1"/>
          <w:lang w:val="en-GB"/>
        </w:rPr>
        <w:t xml:space="preserve"> visa</w:t>
      </w:r>
      <w:r w:rsidR="007672DD" w:rsidRPr="008E781C">
        <w:rPr>
          <w:color w:val="000000" w:themeColor="text1"/>
          <w:lang w:val="en-GB"/>
        </w:rPr>
        <w:t xml:space="preserve"> (i.e. by holding a stay visa</w:t>
      </w:r>
      <w:r w:rsidR="00A37F46" w:rsidRPr="008E781C">
        <w:rPr>
          <w:color w:val="000000" w:themeColor="text1"/>
          <w:lang w:val="en-GB"/>
        </w:rPr>
        <w:t xml:space="preserve">); </w:t>
      </w:r>
      <w:r w:rsidR="00853E68" w:rsidRPr="008E781C">
        <w:rPr>
          <w:color w:val="000000" w:themeColor="text1"/>
          <w:lang w:val="en-GB"/>
        </w:rPr>
        <w:t xml:space="preserve">the </w:t>
      </w:r>
      <w:r w:rsidR="004F64FA" w:rsidRPr="008E781C">
        <w:rPr>
          <w:color w:val="000000" w:themeColor="text1"/>
          <w:lang w:val="en-GB"/>
        </w:rPr>
        <w:t>extension</w:t>
      </w:r>
      <w:r w:rsidR="00853E68" w:rsidRPr="008E781C">
        <w:rPr>
          <w:color w:val="000000" w:themeColor="text1"/>
          <w:lang w:val="en-GB"/>
        </w:rPr>
        <w:t xml:space="preserve"> of the concept of family members to unmarried partners</w:t>
      </w:r>
      <w:r w:rsidR="00A37F46" w:rsidRPr="008E781C">
        <w:rPr>
          <w:color w:val="000000" w:themeColor="text1"/>
          <w:lang w:val="en-GB"/>
        </w:rPr>
        <w:t xml:space="preserve">; </w:t>
      </w:r>
      <w:r w:rsidR="00FA0068" w:rsidRPr="008E781C">
        <w:rPr>
          <w:color w:val="000000" w:themeColor="text1"/>
          <w:lang w:val="en-GB"/>
        </w:rPr>
        <w:t xml:space="preserve">the increase in the </w:t>
      </w:r>
      <w:r w:rsidR="00A37F46" w:rsidRPr="008E781C">
        <w:rPr>
          <w:color w:val="000000" w:themeColor="text1"/>
          <w:lang w:val="en-GB"/>
        </w:rPr>
        <w:t xml:space="preserve">validity </w:t>
      </w:r>
      <w:r w:rsidR="00FA0068" w:rsidRPr="008E781C">
        <w:rPr>
          <w:color w:val="000000" w:themeColor="text1"/>
          <w:lang w:val="en-GB"/>
        </w:rPr>
        <w:t xml:space="preserve">of the renewed </w:t>
      </w:r>
      <w:r w:rsidR="00E04592" w:rsidRPr="008E781C">
        <w:rPr>
          <w:color w:val="000000" w:themeColor="text1"/>
          <w:lang w:val="en-GB"/>
        </w:rPr>
        <w:t xml:space="preserve">investors’ residence </w:t>
      </w:r>
      <w:r w:rsidR="00FA0068" w:rsidRPr="008E781C">
        <w:rPr>
          <w:color w:val="000000" w:themeColor="text1"/>
          <w:lang w:val="en-GB"/>
        </w:rPr>
        <w:t xml:space="preserve">authorisation from </w:t>
      </w:r>
      <w:r w:rsidR="00FE680D" w:rsidRPr="008E781C">
        <w:rPr>
          <w:color w:val="000000" w:themeColor="text1"/>
          <w:lang w:val="en-GB"/>
        </w:rPr>
        <w:t xml:space="preserve">two </w:t>
      </w:r>
      <w:r w:rsidR="00FA0068" w:rsidRPr="008E781C">
        <w:rPr>
          <w:color w:val="000000" w:themeColor="text1"/>
          <w:lang w:val="en-GB"/>
        </w:rPr>
        <w:t xml:space="preserve">to </w:t>
      </w:r>
      <w:r w:rsidR="00FE680D" w:rsidRPr="008E781C">
        <w:rPr>
          <w:color w:val="000000" w:themeColor="text1"/>
          <w:lang w:val="en-GB"/>
        </w:rPr>
        <w:t>five</w:t>
      </w:r>
      <w:r w:rsidR="00FA0068" w:rsidRPr="008E781C">
        <w:rPr>
          <w:color w:val="000000" w:themeColor="text1"/>
          <w:lang w:val="en-GB"/>
        </w:rPr>
        <w:t xml:space="preserve"> years</w:t>
      </w:r>
      <w:r w:rsidR="00A37F46" w:rsidRPr="008E781C">
        <w:rPr>
          <w:color w:val="000000" w:themeColor="text1"/>
          <w:lang w:val="en-GB"/>
        </w:rPr>
        <w:t xml:space="preserve">; </w:t>
      </w:r>
      <w:r w:rsidR="00FA0068" w:rsidRPr="008E781C">
        <w:rPr>
          <w:color w:val="000000" w:themeColor="text1"/>
          <w:lang w:val="en-GB"/>
        </w:rPr>
        <w:t xml:space="preserve">the automatic extension of the </w:t>
      </w:r>
      <w:r w:rsidR="00D47D3E" w:rsidRPr="008E781C">
        <w:rPr>
          <w:color w:val="000000" w:themeColor="text1"/>
          <w:lang w:val="en-GB"/>
        </w:rPr>
        <w:t xml:space="preserve">existing </w:t>
      </w:r>
      <w:r w:rsidR="00FA0068" w:rsidRPr="008E781C">
        <w:rPr>
          <w:color w:val="000000" w:themeColor="text1"/>
          <w:lang w:val="en-GB"/>
        </w:rPr>
        <w:t xml:space="preserve">authorisation </w:t>
      </w:r>
      <w:r w:rsidR="00D47D3E" w:rsidRPr="008E781C">
        <w:rPr>
          <w:color w:val="000000" w:themeColor="text1"/>
          <w:lang w:val="en-GB"/>
        </w:rPr>
        <w:t>while the renewal procedure is ongoing</w:t>
      </w:r>
      <w:r w:rsidR="00FA0068" w:rsidRPr="008E781C">
        <w:rPr>
          <w:color w:val="000000" w:themeColor="text1"/>
          <w:lang w:val="en-GB"/>
        </w:rPr>
        <w:t>.</w:t>
      </w:r>
      <w:r w:rsidR="00B92B66" w:rsidRPr="008E781C">
        <w:rPr>
          <w:color w:val="000000" w:themeColor="text1"/>
          <w:lang w:val="en-GB"/>
        </w:rPr>
        <w:t xml:space="preserve"> </w:t>
      </w:r>
    </w:p>
    <w:p w14:paraId="7F863C38" w14:textId="5BC1224F" w:rsidR="004C33D5" w:rsidRPr="008E781C" w:rsidRDefault="004C33D5" w:rsidP="00B02F25">
      <w:pPr>
        <w:pStyle w:val="MMultilevel"/>
        <w:numPr>
          <w:ilvl w:val="0"/>
          <w:numId w:val="0"/>
        </w:numPr>
        <w:rPr>
          <w:color w:val="000000" w:themeColor="text1"/>
          <w:lang w:val="en-GB"/>
        </w:rPr>
      </w:pPr>
    </w:p>
    <w:p w14:paraId="1B4E152E" w14:textId="5F7804C7" w:rsidR="004C33D5" w:rsidRPr="008E781C" w:rsidRDefault="004C33D5" w:rsidP="00B02F25">
      <w:pPr>
        <w:pStyle w:val="MMultilevel"/>
        <w:numPr>
          <w:ilvl w:val="0"/>
          <w:numId w:val="0"/>
        </w:numPr>
        <w:rPr>
          <w:color w:val="000000" w:themeColor="text1"/>
          <w:lang w:val="en-GB"/>
        </w:rPr>
      </w:pPr>
      <w:r w:rsidRPr="008E781C">
        <w:rPr>
          <w:color w:val="000000" w:themeColor="text1"/>
          <w:lang w:val="en-GB"/>
        </w:rPr>
        <w:t xml:space="preserve">Furthermore, after a period of five years of residence, foreign investors, as any other third-country national </w:t>
      </w:r>
      <w:r w:rsidR="00ED7BB9" w:rsidRPr="008E781C">
        <w:rPr>
          <w:color w:val="000000" w:themeColor="text1"/>
          <w:lang w:val="en-GB"/>
        </w:rPr>
        <w:t>resident in Spain</w:t>
      </w:r>
      <w:r w:rsidRPr="008E781C">
        <w:rPr>
          <w:color w:val="000000" w:themeColor="text1"/>
          <w:lang w:val="en-GB"/>
        </w:rPr>
        <w:t xml:space="preserve">, may apply for </w:t>
      </w:r>
      <w:r w:rsidRPr="008E781C">
        <w:rPr>
          <w:b/>
          <w:color w:val="000000" w:themeColor="text1"/>
          <w:lang w:val="en-GB"/>
        </w:rPr>
        <w:t xml:space="preserve">long-term residence </w:t>
      </w:r>
      <w:r w:rsidRPr="008E781C">
        <w:rPr>
          <w:color w:val="000000" w:themeColor="text1"/>
          <w:lang w:val="en-GB"/>
        </w:rPr>
        <w:t>which entitles them to</w:t>
      </w:r>
      <w:r w:rsidR="008977C4" w:rsidRPr="008E781C">
        <w:rPr>
          <w:color w:val="000000" w:themeColor="text1"/>
          <w:lang w:val="en-GB"/>
        </w:rPr>
        <w:t xml:space="preserve"> </w:t>
      </w:r>
      <w:r w:rsidRPr="008E781C">
        <w:rPr>
          <w:b/>
          <w:color w:val="000000" w:themeColor="text1"/>
          <w:lang w:val="en-GB"/>
        </w:rPr>
        <w:t>reside and work</w:t>
      </w:r>
      <w:r w:rsidRPr="008E781C">
        <w:rPr>
          <w:color w:val="000000" w:themeColor="text1"/>
          <w:lang w:val="en-GB"/>
        </w:rPr>
        <w:t xml:space="preserve"> in Spain for an </w:t>
      </w:r>
      <w:r w:rsidRPr="008E781C">
        <w:rPr>
          <w:b/>
          <w:color w:val="000000" w:themeColor="text1"/>
          <w:lang w:val="en-GB"/>
        </w:rPr>
        <w:t xml:space="preserve">indefinite period of time, </w:t>
      </w:r>
      <w:r w:rsidR="00ED7BB9" w:rsidRPr="008E781C">
        <w:rPr>
          <w:b/>
          <w:color w:val="000000" w:themeColor="text1"/>
          <w:lang w:val="en-GB"/>
        </w:rPr>
        <w:t xml:space="preserve">under </w:t>
      </w:r>
      <w:r w:rsidRPr="008E781C">
        <w:rPr>
          <w:b/>
          <w:color w:val="000000" w:themeColor="text1"/>
          <w:lang w:val="en-GB"/>
        </w:rPr>
        <w:t xml:space="preserve">equal conditions </w:t>
      </w:r>
      <w:r w:rsidR="00ED7BB9" w:rsidRPr="008E781C">
        <w:rPr>
          <w:b/>
          <w:color w:val="000000" w:themeColor="text1"/>
          <w:lang w:val="en-GB"/>
        </w:rPr>
        <w:t xml:space="preserve">as </w:t>
      </w:r>
      <w:r w:rsidRPr="008E781C">
        <w:rPr>
          <w:b/>
          <w:color w:val="000000" w:themeColor="text1"/>
          <w:lang w:val="en-GB"/>
        </w:rPr>
        <w:t>Spanish citizens</w:t>
      </w:r>
      <w:r w:rsidR="008977C4" w:rsidRPr="008E781C">
        <w:rPr>
          <w:color w:val="000000" w:themeColor="text1"/>
          <w:lang w:val="en-GB"/>
        </w:rPr>
        <w:t>.</w:t>
      </w:r>
      <w:r w:rsidRPr="008E781C">
        <w:rPr>
          <w:rStyle w:val="FootnoteReference"/>
          <w:color w:val="000000" w:themeColor="text1"/>
          <w:lang w:val="en-GB"/>
        </w:rPr>
        <w:footnoteReference w:id="15"/>
      </w:r>
      <w:r w:rsidR="008977C4" w:rsidRPr="008E781C">
        <w:rPr>
          <w:color w:val="000000" w:themeColor="text1"/>
          <w:lang w:val="en-GB"/>
        </w:rPr>
        <w:t xml:space="preserve"> </w:t>
      </w:r>
      <w:r w:rsidR="001D471C" w:rsidRPr="008E781C">
        <w:rPr>
          <w:color w:val="000000" w:themeColor="text1"/>
          <w:lang w:val="en-GB"/>
        </w:rPr>
        <w:t>The prior five-year residence period is not required in the specific cases observed by the law</w:t>
      </w:r>
      <w:r w:rsidR="00AC3CBF" w:rsidRPr="008E781C">
        <w:rPr>
          <w:color w:val="000000" w:themeColor="text1"/>
          <w:lang w:val="en-GB"/>
        </w:rPr>
        <w:t>.</w:t>
      </w:r>
      <w:r w:rsidR="001D471C" w:rsidRPr="008E781C">
        <w:rPr>
          <w:rStyle w:val="FootnoteReference"/>
          <w:color w:val="000000" w:themeColor="text1"/>
          <w:lang w:val="en-GB"/>
        </w:rPr>
        <w:footnoteReference w:id="16"/>
      </w:r>
      <w:r w:rsidR="001D471C" w:rsidRPr="008E781C">
        <w:rPr>
          <w:color w:val="000000" w:themeColor="text1"/>
          <w:lang w:val="en-GB"/>
        </w:rPr>
        <w:t xml:space="preserve"> Among these, it is of particular interest to investors that long-term residence can be granted without requiring a prior residence of five years </w:t>
      </w:r>
      <w:r w:rsidR="008977C4" w:rsidRPr="008E781C">
        <w:rPr>
          <w:color w:val="000000" w:themeColor="text1"/>
          <w:lang w:val="en-GB"/>
        </w:rPr>
        <w:t>to foreigners who have</w:t>
      </w:r>
      <w:r w:rsidR="00D274FC" w:rsidRPr="008E781C">
        <w:rPr>
          <w:color w:val="000000" w:themeColor="text1"/>
          <w:lang w:val="en-GB"/>
        </w:rPr>
        <w:t xml:space="preserve"> made a</w:t>
      </w:r>
      <w:r w:rsidR="008977C4" w:rsidRPr="008E781C">
        <w:rPr>
          <w:color w:val="000000" w:themeColor="text1"/>
          <w:lang w:val="en-GB"/>
        </w:rPr>
        <w:t xml:space="preserve"> </w:t>
      </w:r>
      <w:r w:rsidR="006F144D" w:rsidRPr="008E781C">
        <w:rPr>
          <w:color w:val="000000" w:themeColor="text1"/>
          <w:lang w:val="en-GB"/>
        </w:rPr>
        <w:t>note-worthy contribution to</w:t>
      </w:r>
      <w:r w:rsidR="008977C4" w:rsidRPr="008E781C">
        <w:rPr>
          <w:color w:val="000000" w:themeColor="text1"/>
          <w:lang w:val="en-GB"/>
        </w:rPr>
        <w:t xml:space="preserve">, inter alia, </w:t>
      </w:r>
      <w:r w:rsidR="00ED7BB9" w:rsidRPr="008E781C">
        <w:rPr>
          <w:color w:val="000000" w:themeColor="text1"/>
          <w:lang w:val="en-GB"/>
        </w:rPr>
        <w:t xml:space="preserve">Spain’s </w:t>
      </w:r>
      <w:r w:rsidR="008977C4" w:rsidRPr="008E781C">
        <w:rPr>
          <w:color w:val="000000" w:themeColor="text1"/>
          <w:lang w:val="en-GB"/>
        </w:rPr>
        <w:lastRenderedPageBreak/>
        <w:t>economic progress or visibility abroad.</w:t>
      </w:r>
      <w:r w:rsidR="008977C4" w:rsidRPr="008E781C">
        <w:rPr>
          <w:rStyle w:val="FootnoteReference"/>
          <w:color w:val="000000" w:themeColor="text1"/>
          <w:lang w:val="en-GB"/>
        </w:rPr>
        <w:footnoteReference w:id="17"/>
      </w:r>
      <w:r w:rsidR="008977C4" w:rsidRPr="008E781C">
        <w:rPr>
          <w:color w:val="000000" w:themeColor="text1"/>
          <w:lang w:val="en-GB"/>
        </w:rPr>
        <w:t xml:space="preserve"> However, since none of the general requirements for long-term residence applicable to all other third-country nationals are waived or facilitated in consideration of the mentioned contribution, this does not constitute a specific investors’ residence scheme and, thus, is not examined in detail in this Report.</w:t>
      </w:r>
    </w:p>
    <w:p w14:paraId="0843470C" w14:textId="180940A6" w:rsidR="008977C4" w:rsidRPr="008E781C" w:rsidRDefault="008977C4" w:rsidP="00B02F25">
      <w:pPr>
        <w:pStyle w:val="MMultilevel"/>
        <w:numPr>
          <w:ilvl w:val="0"/>
          <w:numId w:val="0"/>
        </w:numPr>
        <w:rPr>
          <w:b/>
          <w:color w:val="000000" w:themeColor="text1"/>
          <w:lang w:val="en-GB"/>
        </w:rPr>
      </w:pPr>
    </w:p>
    <w:p w14:paraId="3601D701" w14:textId="53B21A92" w:rsidR="008977C4" w:rsidRPr="008E781C" w:rsidRDefault="008977C4" w:rsidP="00B02F25">
      <w:pPr>
        <w:pStyle w:val="MMultilevel"/>
        <w:numPr>
          <w:ilvl w:val="0"/>
          <w:numId w:val="0"/>
        </w:numPr>
        <w:rPr>
          <w:color w:val="000000" w:themeColor="text1"/>
          <w:lang w:val="en-GB"/>
        </w:rPr>
      </w:pPr>
      <w:r w:rsidRPr="008E781C">
        <w:rPr>
          <w:color w:val="000000" w:themeColor="text1"/>
          <w:lang w:val="en-GB"/>
        </w:rPr>
        <w:t xml:space="preserve">Finally, foreign investors, as any other third-country national, may apply or be eligible for Spanish citizenship through </w:t>
      </w:r>
      <w:r w:rsidRPr="008E781C">
        <w:rPr>
          <w:b/>
          <w:color w:val="000000" w:themeColor="text1"/>
          <w:lang w:val="en-GB"/>
        </w:rPr>
        <w:t>naturalisation procedures</w:t>
      </w:r>
      <w:r w:rsidRPr="008E781C">
        <w:rPr>
          <w:color w:val="000000" w:themeColor="text1"/>
          <w:lang w:val="en-GB"/>
        </w:rPr>
        <w:t>. These are examined in Section IV of this Report.</w:t>
      </w:r>
    </w:p>
    <w:p w14:paraId="72B22BAD" w14:textId="77777777" w:rsidR="0066082D" w:rsidRPr="008E781C" w:rsidRDefault="0066082D" w:rsidP="00B02F25">
      <w:pPr>
        <w:pStyle w:val="MMultilevel"/>
        <w:numPr>
          <w:ilvl w:val="0"/>
          <w:numId w:val="0"/>
        </w:numPr>
        <w:rPr>
          <w:color w:val="000000" w:themeColor="text1"/>
          <w:lang w:val="en-GB"/>
        </w:rPr>
      </w:pPr>
    </w:p>
    <w:p w14:paraId="26A03533" w14:textId="2699AF7D" w:rsidR="00B71B43" w:rsidRPr="008E781C" w:rsidRDefault="00B71B43" w:rsidP="00B02F25">
      <w:pPr>
        <w:pStyle w:val="MMultilevel"/>
        <w:numPr>
          <w:ilvl w:val="0"/>
          <w:numId w:val="0"/>
        </w:numPr>
        <w:rPr>
          <w:color w:val="000000" w:themeColor="text1"/>
          <w:lang w:val="en-GB"/>
        </w:rPr>
      </w:pPr>
      <w:r w:rsidRPr="008E781C">
        <w:rPr>
          <w:color w:val="000000" w:themeColor="text1"/>
          <w:lang w:val="en-GB"/>
        </w:rPr>
        <w:t xml:space="preserve">In light of the above, Figure 1 below summarises the steps through which foreign investors can progress from their </w:t>
      </w:r>
      <w:r w:rsidR="00595EBD" w:rsidRPr="008E781C">
        <w:rPr>
          <w:color w:val="000000" w:themeColor="text1"/>
          <w:lang w:val="en-GB"/>
        </w:rPr>
        <w:t>entry into Spain to the possibility of obtaining the Spanish citizenship, covering the corresponding permits in each phase</w:t>
      </w:r>
      <w:r w:rsidR="00777319" w:rsidRPr="008E781C">
        <w:rPr>
          <w:color w:val="000000" w:themeColor="text1"/>
          <w:lang w:val="en-GB"/>
        </w:rPr>
        <w:t xml:space="preserve"> and Table 1 develops the key concepts.</w:t>
      </w:r>
    </w:p>
    <w:p w14:paraId="1D57426F" w14:textId="77777777" w:rsidR="00B71B43" w:rsidRPr="008E781C" w:rsidRDefault="00B71B43" w:rsidP="00B02F25">
      <w:pPr>
        <w:pStyle w:val="MMultilevel"/>
        <w:numPr>
          <w:ilvl w:val="0"/>
          <w:numId w:val="0"/>
        </w:numPr>
        <w:rPr>
          <w:color w:val="000000" w:themeColor="text1"/>
          <w:lang w:val="en-GB"/>
        </w:rPr>
      </w:pPr>
    </w:p>
    <w:p w14:paraId="2321858C" w14:textId="713BF1AB" w:rsidR="00B71B43" w:rsidRPr="008E781C" w:rsidRDefault="00B71B43" w:rsidP="00B71B43">
      <w:pPr>
        <w:pStyle w:val="Caption"/>
        <w:keepNext/>
        <w:jc w:val="both"/>
      </w:pPr>
      <w:r w:rsidRPr="008E781C">
        <w:t xml:space="preserve">Figure </w:t>
      </w:r>
      <w:r w:rsidRPr="008E781C">
        <w:rPr>
          <w:noProof/>
        </w:rPr>
        <w:fldChar w:fldCharType="begin"/>
      </w:r>
      <w:r w:rsidRPr="008E781C">
        <w:rPr>
          <w:noProof/>
        </w:rPr>
        <w:instrText xml:space="preserve"> SEQ Figure \* ARABIC </w:instrText>
      </w:r>
      <w:r w:rsidRPr="008E781C">
        <w:rPr>
          <w:noProof/>
        </w:rPr>
        <w:fldChar w:fldCharType="separate"/>
      </w:r>
      <w:r w:rsidR="005F02F1" w:rsidRPr="008E781C">
        <w:rPr>
          <w:noProof/>
        </w:rPr>
        <w:t>1</w:t>
      </w:r>
      <w:r w:rsidRPr="008E781C">
        <w:rPr>
          <w:noProof/>
        </w:rPr>
        <w:fldChar w:fldCharType="end"/>
      </w:r>
      <w:r w:rsidRPr="008E781C">
        <w:t xml:space="preserve"> Overview of the entry and residence procedure for third-country investors and corresponding authorisations</w:t>
      </w:r>
    </w:p>
    <w:p w14:paraId="580D1C68" w14:textId="77777777" w:rsidR="00B71B43" w:rsidRPr="008E781C" w:rsidRDefault="00B71B43" w:rsidP="00B71B43">
      <w:pPr>
        <w:pStyle w:val="MMultilevel"/>
        <w:numPr>
          <w:ilvl w:val="0"/>
          <w:numId w:val="0"/>
        </w:numPr>
        <w:rPr>
          <w:lang w:val="en-GB"/>
        </w:rPr>
      </w:pPr>
      <w:r w:rsidRPr="008E781C">
        <w:rPr>
          <w:noProof/>
          <w:lang w:val="fr-BE" w:eastAsia="fr-BE"/>
        </w:rPr>
        <w:drawing>
          <wp:inline distT="0" distB="0" distL="0" distR="0" wp14:anchorId="626E02F9" wp14:editId="3174F6F4">
            <wp:extent cx="6313170" cy="1334125"/>
            <wp:effectExtent l="19050" t="0" r="1143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AD015A8" w14:textId="7FD7ADD2" w:rsidR="005C6474" w:rsidRPr="008E781C" w:rsidRDefault="005C6474" w:rsidP="005370CE">
      <w:pPr>
        <w:pStyle w:val="Caption"/>
        <w:keepNext/>
      </w:pPr>
      <w:r w:rsidRPr="008E781C">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1</w:t>
      </w:r>
      <w:r w:rsidR="00697A0F" w:rsidRPr="008E781C">
        <w:rPr>
          <w:noProof/>
        </w:rPr>
        <w:fldChar w:fldCharType="end"/>
      </w:r>
      <w:r w:rsidRPr="008E781C">
        <w:t xml:space="preserve"> Key concepts</w:t>
      </w:r>
    </w:p>
    <w:tbl>
      <w:tblPr>
        <w:tblStyle w:val="TableGrid"/>
        <w:tblW w:w="0" w:type="auto"/>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149"/>
        <w:gridCol w:w="2674"/>
        <w:gridCol w:w="5188"/>
      </w:tblGrid>
      <w:tr w:rsidR="00327F94" w:rsidRPr="008E781C" w14:paraId="47B82B74" w14:textId="77777777" w:rsidTr="00595EBD">
        <w:trPr>
          <w:tblHeader/>
        </w:trPr>
        <w:tc>
          <w:tcPr>
            <w:tcW w:w="1149" w:type="dxa"/>
            <w:shd w:val="clear" w:color="auto" w:fill="95B3D7" w:themeFill="accent1" w:themeFillTint="99"/>
          </w:tcPr>
          <w:p w14:paraId="55F6FC19" w14:textId="24F624CF" w:rsidR="0007224E" w:rsidRPr="008E781C" w:rsidRDefault="0007224E" w:rsidP="005370CE">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Situation</w:t>
            </w:r>
          </w:p>
        </w:tc>
        <w:tc>
          <w:tcPr>
            <w:tcW w:w="2674" w:type="dxa"/>
            <w:shd w:val="clear" w:color="auto" w:fill="95B3D7" w:themeFill="accent1" w:themeFillTint="99"/>
          </w:tcPr>
          <w:p w14:paraId="7F322DAF" w14:textId="2AF97313" w:rsidR="0007224E" w:rsidRPr="008E781C" w:rsidRDefault="0007224E" w:rsidP="005370CE">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Definition</w:t>
            </w:r>
          </w:p>
        </w:tc>
        <w:tc>
          <w:tcPr>
            <w:tcW w:w="5188" w:type="dxa"/>
            <w:shd w:val="clear" w:color="auto" w:fill="95B3D7" w:themeFill="accent1" w:themeFillTint="99"/>
          </w:tcPr>
          <w:p w14:paraId="430F9446" w14:textId="656BEE16" w:rsidR="0007224E" w:rsidRPr="008E781C" w:rsidRDefault="00B94B76" w:rsidP="005370CE">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Permit</w:t>
            </w:r>
          </w:p>
        </w:tc>
      </w:tr>
      <w:tr w:rsidR="005C6474" w:rsidRPr="008E781C" w14:paraId="5B73EC9A" w14:textId="77777777" w:rsidTr="0096455D">
        <w:tc>
          <w:tcPr>
            <w:tcW w:w="1149" w:type="dxa"/>
            <w:shd w:val="clear" w:color="auto" w:fill="DBE5F1" w:themeFill="accent1" w:themeFillTint="33"/>
          </w:tcPr>
          <w:p w14:paraId="7F67DBCD" w14:textId="48C3C05D" w:rsidR="0007224E" w:rsidRPr="008E781C" w:rsidRDefault="0007224E"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Stay (Article 30 LOEX)</w:t>
            </w:r>
          </w:p>
        </w:tc>
        <w:tc>
          <w:tcPr>
            <w:tcW w:w="2674" w:type="dxa"/>
            <w:shd w:val="clear" w:color="auto" w:fill="D9D9D9" w:themeFill="background1" w:themeFillShade="D9"/>
          </w:tcPr>
          <w:p w14:paraId="0FF88978" w14:textId="77777777" w:rsidR="0007224E" w:rsidRPr="008E781C" w:rsidRDefault="0007224E" w:rsidP="0007224E">
            <w:pPr>
              <w:pStyle w:val="MMultilevel"/>
              <w:numPr>
                <w:ilvl w:val="0"/>
                <w:numId w:val="0"/>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Permanence in the Spanish territory for a period of time </w:t>
            </w:r>
            <w:r w:rsidRPr="008E781C">
              <w:rPr>
                <w:rFonts w:ascii="Century Gothic" w:hAnsi="Century Gothic"/>
                <w:b/>
                <w:color w:val="000000" w:themeColor="text1"/>
                <w:sz w:val="18"/>
                <w:szCs w:val="18"/>
                <w:lang w:val="en-GB"/>
              </w:rPr>
              <w:t>not exceeding 90 days</w:t>
            </w:r>
            <w:r w:rsidRPr="008E781C">
              <w:rPr>
                <w:rFonts w:ascii="Century Gothic" w:hAnsi="Century Gothic"/>
                <w:color w:val="000000" w:themeColor="text1"/>
                <w:sz w:val="18"/>
                <w:szCs w:val="18"/>
                <w:lang w:val="en-GB"/>
              </w:rPr>
              <w:t>. After the expiry of this period, the individual must apply for:</w:t>
            </w:r>
          </w:p>
          <w:p w14:paraId="544E3BB6" w14:textId="77777777" w:rsidR="0007224E" w:rsidRPr="008E781C" w:rsidRDefault="0007224E"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color w:val="000000" w:themeColor="text1"/>
                <w:sz w:val="18"/>
                <w:szCs w:val="18"/>
                <w:lang w:val="en-GB"/>
              </w:rPr>
              <w:t xml:space="preserve">a) an </w:t>
            </w:r>
            <w:r w:rsidRPr="008E781C">
              <w:rPr>
                <w:rFonts w:ascii="Century Gothic" w:hAnsi="Century Gothic"/>
                <w:b/>
                <w:color w:val="000000" w:themeColor="text1"/>
                <w:sz w:val="18"/>
                <w:szCs w:val="18"/>
                <w:lang w:val="en-GB"/>
              </w:rPr>
              <w:t>extension</w:t>
            </w:r>
            <w:r w:rsidRPr="008E781C">
              <w:rPr>
                <w:rFonts w:ascii="Century Gothic" w:hAnsi="Century Gothic"/>
                <w:color w:val="000000" w:themeColor="text1"/>
                <w:sz w:val="18"/>
                <w:szCs w:val="18"/>
                <w:lang w:val="en-GB"/>
              </w:rPr>
              <w:t xml:space="preserve"> of the stay; </w:t>
            </w:r>
            <w:r w:rsidRPr="008E781C">
              <w:rPr>
                <w:rFonts w:ascii="Century Gothic" w:hAnsi="Century Gothic"/>
                <w:b/>
                <w:color w:val="000000" w:themeColor="text1"/>
                <w:sz w:val="18"/>
                <w:szCs w:val="18"/>
                <w:lang w:val="en-GB"/>
              </w:rPr>
              <w:t>or</w:t>
            </w:r>
          </w:p>
          <w:p w14:paraId="4E683F6F" w14:textId="38B61930" w:rsidR="0007224E" w:rsidRPr="008E781C" w:rsidRDefault="0007224E"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color w:val="000000" w:themeColor="text1"/>
                <w:sz w:val="18"/>
                <w:szCs w:val="18"/>
                <w:lang w:val="en-GB"/>
              </w:rPr>
              <w:t xml:space="preserve">b) a </w:t>
            </w:r>
            <w:r w:rsidRPr="008E781C">
              <w:rPr>
                <w:rFonts w:ascii="Century Gothic" w:hAnsi="Century Gothic"/>
                <w:b/>
                <w:color w:val="000000" w:themeColor="text1"/>
                <w:sz w:val="18"/>
                <w:szCs w:val="18"/>
                <w:lang w:val="en-GB"/>
              </w:rPr>
              <w:t xml:space="preserve">residence </w:t>
            </w:r>
            <w:r w:rsidR="00EC27EF" w:rsidRPr="008E781C">
              <w:rPr>
                <w:rFonts w:ascii="Century Gothic" w:hAnsi="Century Gothic"/>
                <w:b/>
                <w:color w:val="000000" w:themeColor="text1"/>
                <w:sz w:val="18"/>
                <w:szCs w:val="18"/>
                <w:lang w:val="en-GB"/>
              </w:rPr>
              <w:t>authorisation</w:t>
            </w:r>
          </w:p>
        </w:tc>
        <w:tc>
          <w:tcPr>
            <w:tcW w:w="5188" w:type="dxa"/>
            <w:shd w:val="clear" w:color="auto" w:fill="D9D9D9" w:themeFill="background1" w:themeFillShade="D9"/>
          </w:tcPr>
          <w:p w14:paraId="105657D3" w14:textId="6482C535" w:rsidR="0007224E" w:rsidRPr="008E781C" w:rsidRDefault="0065225F" w:rsidP="005370CE">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b/>
                <w:color w:val="000000" w:themeColor="text1"/>
                <w:sz w:val="18"/>
                <w:szCs w:val="18"/>
                <w:lang w:val="en-GB"/>
              </w:rPr>
              <w:t xml:space="preserve">Stay visa: </w:t>
            </w:r>
            <w:r w:rsidRPr="008E781C">
              <w:rPr>
                <w:rFonts w:ascii="Century Gothic" w:hAnsi="Century Gothic"/>
                <w:color w:val="000000" w:themeColor="text1"/>
                <w:sz w:val="18"/>
                <w:szCs w:val="18"/>
                <w:lang w:val="en-GB"/>
              </w:rPr>
              <w:t xml:space="preserve">entitles the holder to stay for an </w:t>
            </w:r>
            <w:r w:rsidR="00942CA0" w:rsidRPr="008E781C">
              <w:rPr>
                <w:rFonts w:ascii="Century Gothic" w:hAnsi="Century Gothic"/>
                <w:color w:val="000000" w:themeColor="text1"/>
                <w:sz w:val="18"/>
                <w:szCs w:val="18"/>
                <w:lang w:val="en-GB"/>
              </w:rPr>
              <w:t>un</w:t>
            </w:r>
            <w:r w:rsidRPr="008E781C">
              <w:rPr>
                <w:rFonts w:ascii="Century Gothic" w:hAnsi="Century Gothic"/>
                <w:color w:val="000000" w:themeColor="text1"/>
                <w:sz w:val="18"/>
                <w:szCs w:val="18"/>
                <w:lang w:val="en-GB"/>
              </w:rPr>
              <w:t>interrupted period of three months or for consecutive stays adding up to three months from the date of the first entry (Article 25bis(b) LOEX).</w:t>
            </w:r>
            <w:r w:rsidR="00327F94" w:rsidRPr="008E781C">
              <w:rPr>
                <w:rFonts w:ascii="Century Gothic" w:hAnsi="Century Gothic"/>
                <w:color w:val="000000" w:themeColor="text1"/>
                <w:sz w:val="18"/>
                <w:szCs w:val="18"/>
                <w:lang w:val="en-GB"/>
              </w:rPr>
              <w:t xml:space="preserve"> </w:t>
            </w:r>
            <w:r w:rsidR="00327F94" w:rsidRPr="008E781C">
              <w:rPr>
                <w:rFonts w:ascii="Century Gothic" w:hAnsi="Century Gothic"/>
                <w:b/>
                <w:color w:val="000000" w:themeColor="text1"/>
                <w:sz w:val="18"/>
                <w:szCs w:val="18"/>
                <w:lang w:val="en-GB"/>
              </w:rPr>
              <w:t>Investors</w:t>
            </w:r>
            <w:r w:rsidR="00327F94" w:rsidRPr="008E781C">
              <w:rPr>
                <w:rFonts w:ascii="Century Gothic" w:hAnsi="Century Gothic"/>
                <w:color w:val="000000" w:themeColor="text1"/>
                <w:sz w:val="18"/>
                <w:szCs w:val="18"/>
                <w:lang w:val="en-GB"/>
              </w:rPr>
              <w:t xml:space="preserve"> can apply for this visa to enter the Spanish territory (Article 63(1) Law 14/2013)</w:t>
            </w:r>
          </w:p>
        </w:tc>
      </w:tr>
      <w:tr w:rsidR="005C6474" w:rsidRPr="008E781C" w14:paraId="0C9B4A0F" w14:textId="77777777" w:rsidTr="0096455D">
        <w:tc>
          <w:tcPr>
            <w:tcW w:w="1149" w:type="dxa"/>
            <w:shd w:val="clear" w:color="auto" w:fill="DBE5F1" w:themeFill="accent1" w:themeFillTint="33"/>
          </w:tcPr>
          <w:p w14:paraId="0948BD92" w14:textId="2D12947C" w:rsidR="0007224E" w:rsidRPr="008E781C" w:rsidRDefault="0065225F"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 xml:space="preserve">Temporary </w:t>
            </w:r>
            <w:r w:rsidR="0007224E" w:rsidRPr="008E781C">
              <w:rPr>
                <w:rFonts w:ascii="Century Gothic" w:hAnsi="Century Gothic"/>
                <w:b/>
                <w:color w:val="000000" w:themeColor="text1"/>
                <w:sz w:val="18"/>
                <w:szCs w:val="18"/>
                <w:lang w:val="en-GB"/>
              </w:rPr>
              <w:t>Residence</w:t>
            </w:r>
            <w:r w:rsidRPr="008E781C">
              <w:rPr>
                <w:rFonts w:ascii="Century Gothic" w:hAnsi="Century Gothic"/>
                <w:b/>
                <w:color w:val="000000" w:themeColor="text1"/>
                <w:sz w:val="18"/>
                <w:szCs w:val="18"/>
                <w:lang w:val="en-GB"/>
              </w:rPr>
              <w:t xml:space="preserve"> (Article 31 LOEX)</w:t>
            </w:r>
          </w:p>
        </w:tc>
        <w:tc>
          <w:tcPr>
            <w:tcW w:w="2674" w:type="dxa"/>
            <w:shd w:val="clear" w:color="auto" w:fill="D9D9D9" w:themeFill="background1" w:themeFillShade="D9"/>
          </w:tcPr>
          <w:p w14:paraId="7D830E36" w14:textId="7EC6D029" w:rsidR="0007224E" w:rsidRPr="008E781C" w:rsidRDefault="00ED7BB9"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color w:val="000000" w:themeColor="text1"/>
                <w:sz w:val="18"/>
                <w:szCs w:val="18"/>
                <w:lang w:val="en-GB"/>
              </w:rPr>
              <w:t>A</w:t>
            </w:r>
            <w:r w:rsidR="0065225F" w:rsidRPr="008E781C">
              <w:rPr>
                <w:rFonts w:ascii="Century Gothic" w:hAnsi="Century Gothic"/>
                <w:color w:val="000000" w:themeColor="text1"/>
                <w:sz w:val="18"/>
                <w:szCs w:val="18"/>
                <w:lang w:val="en-GB"/>
              </w:rPr>
              <w:t>uthorises individual</w:t>
            </w:r>
            <w:r w:rsidRPr="008E781C">
              <w:rPr>
                <w:rFonts w:ascii="Century Gothic" w:hAnsi="Century Gothic"/>
                <w:color w:val="000000" w:themeColor="text1"/>
                <w:sz w:val="18"/>
                <w:szCs w:val="18"/>
                <w:lang w:val="en-GB"/>
              </w:rPr>
              <w:t>s</w:t>
            </w:r>
            <w:r w:rsidR="0065225F" w:rsidRPr="008E781C">
              <w:rPr>
                <w:rFonts w:ascii="Century Gothic" w:hAnsi="Century Gothic"/>
                <w:color w:val="000000" w:themeColor="text1"/>
                <w:sz w:val="18"/>
                <w:szCs w:val="18"/>
                <w:lang w:val="en-GB"/>
              </w:rPr>
              <w:t xml:space="preserve"> to remain in Spain for a period </w:t>
            </w:r>
            <w:r w:rsidR="0065225F" w:rsidRPr="008E781C">
              <w:rPr>
                <w:rFonts w:ascii="Century Gothic" w:hAnsi="Century Gothic"/>
                <w:b/>
                <w:color w:val="000000" w:themeColor="text1"/>
                <w:sz w:val="18"/>
                <w:szCs w:val="18"/>
                <w:lang w:val="en-GB"/>
              </w:rPr>
              <w:t>exceeding 90 days but no longer than five years.</w:t>
            </w:r>
          </w:p>
          <w:p w14:paraId="49462D5B" w14:textId="0CA08BF2" w:rsidR="0065225F" w:rsidRPr="008E781C" w:rsidRDefault="0065225F" w:rsidP="0007224E">
            <w:pPr>
              <w:pStyle w:val="MMultilevel"/>
              <w:numPr>
                <w:ilvl w:val="0"/>
                <w:numId w:val="0"/>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After such period, the individual may apply for:</w:t>
            </w:r>
          </w:p>
          <w:p w14:paraId="062587B4" w14:textId="3E19140E" w:rsidR="0065225F" w:rsidRPr="008E781C" w:rsidRDefault="0065225F" w:rsidP="0007224E">
            <w:pPr>
              <w:pStyle w:val="MMultilevel"/>
              <w:numPr>
                <w:ilvl w:val="0"/>
                <w:numId w:val="0"/>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a) </w:t>
            </w:r>
            <w:r w:rsidRPr="008E781C">
              <w:rPr>
                <w:rFonts w:ascii="Century Gothic" w:hAnsi="Century Gothic"/>
                <w:b/>
                <w:color w:val="000000" w:themeColor="text1"/>
                <w:sz w:val="18"/>
                <w:szCs w:val="18"/>
                <w:lang w:val="en-GB"/>
              </w:rPr>
              <w:t>renewal of the temporary residence</w:t>
            </w:r>
            <w:r w:rsidRPr="008E781C">
              <w:rPr>
                <w:rFonts w:ascii="Century Gothic" w:hAnsi="Century Gothic"/>
                <w:color w:val="000000" w:themeColor="text1"/>
                <w:sz w:val="18"/>
                <w:szCs w:val="18"/>
                <w:lang w:val="en-GB"/>
              </w:rPr>
              <w:t>, or</w:t>
            </w:r>
          </w:p>
          <w:p w14:paraId="469D338D" w14:textId="182BD3D8" w:rsidR="0065225F" w:rsidRPr="008E781C" w:rsidRDefault="0065225F">
            <w:pPr>
              <w:pStyle w:val="MMultilevel"/>
              <w:numPr>
                <w:ilvl w:val="0"/>
                <w:numId w:val="0"/>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b) </w:t>
            </w:r>
            <w:r w:rsidRPr="008E781C">
              <w:rPr>
                <w:rFonts w:ascii="Century Gothic" w:hAnsi="Century Gothic"/>
                <w:b/>
                <w:color w:val="000000" w:themeColor="text1"/>
                <w:sz w:val="18"/>
                <w:szCs w:val="18"/>
                <w:lang w:val="en-GB"/>
              </w:rPr>
              <w:t>long-term residence</w:t>
            </w:r>
            <w:r w:rsidR="007672DD" w:rsidRPr="008E781C">
              <w:rPr>
                <w:rFonts w:ascii="Century Gothic" w:hAnsi="Century Gothic"/>
                <w:b/>
                <w:color w:val="000000" w:themeColor="text1"/>
                <w:sz w:val="18"/>
                <w:szCs w:val="18"/>
                <w:lang w:val="en-GB"/>
              </w:rPr>
              <w:t xml:space="preserve"> </w:t>
            </w:r>
            <w:r w:rsidR="007672DD" w:rsidRPr="008E781C">
              <w:rPr>
                <w:rFonts w:ascii="Century Gothic" w:hAnsi="Century Gothic"/>
                <w:color w:val="000000" w:themeColor="text1"/>
                <w:sz w:val="18"/>
                <w:szCs w:val="18"/>
                <w:lang w:val="en-GB"/>
              </w:rPr>
              <w:t>(after five years of continuous residence)</w:t>
            </w:r>
          </w:p>
        </w:tc>
        <w:tc>
          <w:tcPr>
            <w:tcW w:w="5188" w:type="dxa"/>
            <w:shd w:val="clear" w:color="auto" w:fill="D9D9D9" w:themeFill="background1" w:themeFillShade="D9"/>
          </w:tcPr>
          <w:p w14:paraId="36345577" w14:textId="2C2CBB3E" w:rsidR="0007224E" w:rsidRPr="008E781C" w:rsidRDefault="0065225F" w:rsidP="0065225F">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b/>
                <w:color w:val="000000" w:themeColor="text1"/>
                <w:sz w:val="18"/>
                <w:szCs w:val="18"/>
                <w:lang w:val="en-GB"/>
              </w:rPr>
              <w:t>Residence visa</w:t>
            </w:r>
            <w:r w:rsidR="00327F94" w:rsidRPr="008E781C">
              <w:rPr>
                <w:rFonts w:ascii="Century Gothic" w:hAnsi="Century Gothic"/>
                <w:b/>
                <w:color w:val="000000" w:themeColor="text1"/>
                <w:sz w:val="18"/>
                <w:szCs w:val="18"/>
                <w:lang w:val="en-GB"/>
              </w:rPr>
              <w:t xml:space="preserve"> </w:t>
            </w:r>
            <w:r w:rsidR="00327F94" w:rsidRPr="008E781C">
              <w:rPr>
                <w:rFonts w:ascii="Century Gothic" w:hAnsi="Century Gothic"/>
                <w:color w:val="000000" w:themeColor="text1"/>
                <w:sz w:val="18"/>
                <w:szCs w:val="18"/>
                <w:lang w:val="en-GB"/>
              </w:rPr>
              <w:t>(Article 25bis(c) LOEX)</w:t>
            </w:r>
            <w:r w:rsidRPr="008E781C">
              <w:rPr>
                <w:rFonts w:ascii="Century Gothic" w:hAnsi="Century Gothic"/>
                <w:color w:val="000000" w:themeColor="text1"/>
                <w:sz w:val="18"/>
                <w:szCs w:val="18"/>
                <w:lang w:val="en-GB"/>
              </w:rPr>
              <w:t xml:space="preserve">: only authorises the holder to reside, not to work. In order to work the holder will have to request, additionally a </w:t>
            </w:r>
            <w:r w:rsidRPr="008E781C">
              <w:rPr>
                <w:rFonts w:ascii="Century Gothic" w:hAnsi="Century Gothic"/>
                <w:b/>
                <w:color w:val="000000" w:themeColor="text1"/>
                <w:sz w:val="18"/>
                <w:szCs w:val="18"/>
                <w:lang w:val="en-GB"/>
              </w:rPr>
              <w:t xml:space="preserve">residence and work </w:t>
            </w:r>
            <w:r w:rsidRPr="008E781C">
              <w:rPr>
                <w:rFonts w:ascii="Century Gothic" w:hAnsi="Century Gothic"/>
                <w:color w:val="000000" w:themeColor="text1"/>
                <w:sz w:val="18"/>
                <w:szCs w:val="18"/>
                <w:lang w:val="en-GB"/>
              </w:rPr>
              <w:t>authorisation</w:t>
            </w:r>
            <w:r w:rsidR="00327F94" w:rsidRPr="008E781C">
              <w:rPr>
                <w:rFonts w:ascii="Century Gothic" w:hAnsi="Century Gothic"/>
                <w:color w:val="000000" w:themeColor="text1"/>
                <w:sz w:val="18"/>
                <w:szCs w:val="18"/>
                <w:lang w:val="en-GB"/>
              </w:rPr>
              <w:t xml:space="preserve">. Law 14/2013 </w:t>
            </w:r>
            <w:r w:rsidR="00ED7BB9" w:rsidRPr="008E781C">
              <w:rPr>
                <w:rFonts w:ascii="Century Gothic" w:hAnsi="Century Gothic"/>
                <w:color w:val="000000" w:themeColor="text1"/>
                <w:sz w:val="18"/>
                <w:szCs w:val="18"/>
                <w:lang w:val="en-GB"/>
              </w:rPr>
              <w:t xml:space="preserve">provides for </w:t>
            </w:r>
            <w:r w:rsidR="00327F94" w:rsidRPr="008E781C">
              <w:rPr>
                <w:rFonts w:ascii="Century Gothic" w:hAnsi="Century Gothic"/>
                <w:color w:val="000000" w:themeColor="text1"/>
                <w:sz w:val="18"/>
                <w:szCs w:val="18"/>
                <w:lang w:val="en-GB"/>
              </w:rPr>
              <w:t xml:space="preserve">a specific </w:t>
            </w:r>
            <w:r w:rsidR="00327F94" w:rsidRPr="008E781C">
              <w:rPr>
                <w:rFonts w:ascii="Century Gothic" w:hAnsi="Century Gothic"/>
                <w:b/>
                <w:color w:val="000000" w:themeColor="text1"/>
                <w:sz w:val="18"/>
                <w:szCs w:val="18"/>
                <w:lang w:val="en-GB"/>
              </w:rPr>
              <w:t>residence visa for investors</w:t>
            </w:r>
            <w:r w:rsidR="00327F94" w:rsidRPr="008E781C">
              <w:rPr>
                <w:rFonts w:ascii="Century Gothic" w:hAnsi="Century Gothic"/>
                <w:color w:val="000000" w:themeColor="text1"/>
                <w:sz w:val="18"/>
                <w:szCs w:val="18"/>
                <w:lang w:val="en-GB"/>
              </w:rPr>
              <w:t xml:space="preserve"> (Article 63(1)).</w:t>
            </w:r>
          </w:p>
          <w:p w14:paraId="6EE0C1BA" w14:textId="6D489C6C" w:rsidR="00327F94" w:rsidRPr="008E781C" w:rsidRDefault="00327F94" w:rsidP="0065225F">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b/>
                <w:color w:val="000000" w:themeColor="text1"/>
                <w:sz w:val="18"/>
                <w:szCs w:val="18"/>
                <w:lang w:val="en-GB"/>
              </w:rPr>
              <w:t xml:space="preserve">Residence and work visa </w:t>
            </w:r>
            <w:r w:rsidRPr="008E781C">
              <w:rPr>
                <w:rFonts w:ascii="Century Gothic" w:hAnsi="Century Gothic"/>
                <w:color w:val="000000" w:themeColor="text1"/>
                <w:sz w:val="18"/>
                <w:szCs w:val="18"/>
                <w:lang w:val="en-GB"/>
              </w:rPr>
              <w:t xml:space="preserve">(Article 25bis(d) LOEX): authorises the entry and stay for three months and to start, in that same period, a professional activity for which a </w:t>
            </w:r>
            <w:r w:rsidRPr="008E781C">
              <w:rPr>
                <w:rFonts w:ascii="Century Gothic" w:hAnsi="Century Gothic"/>
                <w:b/>
                <w:color w:val="000000" w:themeColor="text1"/>
                <w:sz w:val="18"/>
                <w:szCs w:val="18"/>
                <w:lang w:val="en-GB"/>
              </w:rPr>
              <w:t xml:space="preserve">residence and work authorisation </w:t>
            </w:r>
            <w:r w:rsidRPr="008E781C">
              <w:rPr>
                <w:rFonts w:ascii="Century Gothic" w:hAnsi="Century Gothic"/>
                <w:color w:val="000000" w:themeColor="text1"/>
                <w:sz w:val="18"/>
                <w:szCs w:val="18"/>
                <w:lang w:val="en-GB"/>
              </w:rPr>
              <w:t>has previously been applied for.</w:t>
            </w:r>
            <w:r w:rsidRPr="008E781C">
              <w:rPr>
                <w:rFonts w:ascii="Century Gothic" w:hAnsi="Century Gothic"/>
                <w:b/>
                <w:color w:val="000000" w:themeColor="text1"/>
                <w:sz w:val="18"/>
                <w:szCs w:val="18"/>
                <w:lang w:val="en-GB"/>
              </w:rPr>
              <w:t xml:space="preserve"> </w:t>
            </w:r>
          </w:p>
          <w:p w14:paraId="3AD44ED1" w14:textId="77777777" w:rsidR="00D358E8" w:rsidRPr="008E781C" w:rsidRDefault="00327F94" w:rsidP="005370CE">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The </w:t>
            </w:r>
            <w:r w:rsidRPr="008E781C">
              <w:rPr>
                <w:rFonts w:ascii="Century Gothic" w:hAnsi="Century Gothic"/>
                <w:b/>
                <w:color w:val="000000" w:themeColor="text1"/>
                <w:sz w:val="18"/>
                <w:szCs w:val="18"/>
                <w:lang w:val="en-GB"/>
              </w:rPr>
              <w:t>residence and work authorisation</w:t>
            </w:r>
            <w:r w:rsidRPr="008E781C">
              <w:rPr>
                <w:rFonts w:ascii="Century Gothic" w:hAnsi="Century Gothic"/>
                <w:color w:val="000000" w:themeColor="text1"/>
                <w:sz w:val="18"/>
                <w:szCs w:val="18"/>
                <w:lang w:val="en-GB"/>
              </w:rPr>
              <w:t xml:space="preserve"> </w:t>
            </w:r>
            <w:r w:rsidR="00595EBD" w:rsidRPr="008E781C">
              <w:rPr>
                <w:rFonts w:ascii="Century Gothic" w:hAnsi="Century Gothic"/>
                <w:color w:val="000000" w:themeColor="text1"/>
                <w:sz w:val="18"/>
                <w:szCs w:val="18"/>
                <w:lang w:val="en-GB"/>
              </w:rPr>
              <w:t>entitles</w:t>
            </w:r>
            <w:r w:rsidRPr="008E781C">
              <w:rPr>
                <w:rFonts w:ascii="Century Gothic" w:hAnsi="Century Gothic"/>
                <w:color w:val="000000" w:themeColor="text1"/>
                <w:sz w:val="18"/>
                <w:szCs w:val="18"/>
                <w:lang w:val="en-GB"/>
              </w:rPr>
              <w:t xml:space="preserve"> the holder to reside and work </w:t>
            </w:r>
            <w:r w:rsidR="00ED7BB9" w:rsidRPr="008E781C">
              <w:rPr>
                <w:rFonts w:ascii="Century Gothic" w:hAnsi="Century Gothic"/>
                <w:color w:val="000000" w:themeColor="text1"/>
                <w:sz w:val="18"/>
                <w:szCs w:val="18"/>
                <w:lang w:val="en-GB"/>
              </w:rPr>
              <w:t>on an employed</w:t>
            </w:r>
            <w:r w:rsidRPr="008E781C">
              <w:rPr>
                <w:rFonts w:ascii="Century Gothic" w:hAnsi="Century Gothic"/>
                <w:color w:val="000000" w:themeColor="text1"/>
                <w:sz w:val="18"/>
                <w:szCs w:val="18"/>
                <w:lang w:val="en-GB"/>
              </w:rPr>
              <w:t xml:space="preserve"> (</w:t>
            </w:r>
            <w:r w:rsidRPr="008E781C">
              <w:rPr>
                <w:rFonts w:ascii="Century Gothic" w:hAnsi="Century Gothic"/>
                <w:i/>
                <w:color w:val="000000" w:themeColor="text1"/>
                <w:sz w:val="18"/>
                <w:szCs w:val="18"/>
                <w:lang w:val="en-GB"/>
              </w:rPr>
              <w:t>trabajo por cuenta ajena</w:t>
            </w:r>
            <w:r w:rsidRPr="008E781C">
              <w:rPr>
                <w:rFonts w:ascii="Century Gothic" w:hAnsi="Century Gothic"/>
                <w:color w:val="000000" w:themeColor="text1"/>
                <w:sz w:val="18"/>
                <w:szCs w:val="18"/>
                <w:lang w:val="en-GB"/>
              </w:rPr>
              <w:t xml:space="preserve">) or </w:t>
            </w:r>
            <w:r w:rsidR="00ED7BB9" w:rsidRPr="008E781C">
              <w:rPr>
                <w:rFonts w:ascii="Century Gothic" w:hAnsi="Century Gothic"/>
                <w:color w:val="000000" w:themeColor="text1"/>
                <w:sz w:val="18"/>
                <w:szCs w:val="18"/>
                <w:lang w:val="en-GB"/>
              </w:rPr>
              <w:t>self-employed</w:t>
            </w:r>
            <w:r w:rsidRPr="008E781C">
              <w:rPr>
                <w:rFonts w:ascii="Century Gothic" w:hAnsi="Century Gothic"/>
                <w:color w:val="000000" w:themeColor="text1"/>
                <w:sz w:val="18"/>
                <w:szCs w:val="18"/>
                <w:lang w:val="en-GB"/>
              </w:rPr>
              <w:t xml:space="preserve"> (</w:t>
            </w:r>
            <w:r w:rsidRPr="008E781C">
              <w:rPr>
                <w:rFonts w:ascii="Century Gothic" w:hAnsi="Century Gothic"/>
                <w:i/>
                <w:color w:val="000000" w:themeColor="text1"/>
                <w:sz w:val="18"/>
                <w:szCs w:val="18"/>
                <w:lang w:val="en-GB"/>
              </w:rPr>
              <w:t>trabajo por cuenta propia</w:t>
            </w:r>
            <w:r w:rsidRPr="008E781C">
              <w:rPr>
                <w:rFonts w:ascii="Century Gothic" w:hAnsi="Century Gothic"/>
                <w:color w:val="000000" w:themeColor="text1"/>
                <w:sz w:val="18"/>
                <w:szCs w:val="18"/>
                <w:lang w:val="en-GB"/>
              </w:rPr>
              <w:t xml:space="preserve">) </w:t>
            </w:r>
            <w:r w:rsidR="00ED7BB9" w:rsidRPr="008E781C">
              <w:rPr>
                <w:rFonts w:ascii="Century Gothic" w:hAnsi="Century Gothic"/>
                <w:color w:val="000000" w:themeColor="text1"/>
                <w:sz w:val="18"/>
                <w:szCs w:val="18"/>
                <w:lang w:val="en-GB"/>
              </w:rPr>
              <w:t xml:space="preserve">basis </w:t>
            </w:r>
            <w:r w:rsidRPr="008E781C">
              <w:rPr>
                <w:rFonts w:ascii="Century Gothic" w:hAnsi="Century Gothic"/>
                <w:color w:val="000000" w:themeColor="text1"/>
                <w:sz w:val="18"/>
                <w:szCs w:val="18"/>
                <w:lang w:val="en-GB"/>
              </w:rPr>
              <w:t xml:space="preserve">(Articles 36-38 LOEX). </w:t>
            </w:r>
            <w:r w:rsidR="00D358E8" w:rsidRPr="008E781C">
              <w:rPr>
                <w:rFonts w:ascii="Century Gothic" w:hAnsi="Century Gothic"/>
                <w:color w:val="000000" w:themeColor="text1"/>
                <w:sz w:val="18"/>
                <w:szCs w:val="18"/>
                <w:lang w:val="en-GB"/>
              </w:rPr>
              <w:t xml:space="preserve">The duration of this authorisation is of </w:t>
            </w:r>
            <w:r w:rsidR="00D358E8" w:rsidRPr="008E781C">
              <w:rPr>
                <w:rFonts w:ascii="Century Gothic" w:hAnsi="Century Gothic"/>
                <w:b/>
                <w:color w:val="000000" w:themeColor="text1"/>
                <w:sz w:val="18"/>
                <w:szCs w:val="18"/>
                <w:lang w:val="en-GB"/>
              </w:rPr>
              <w:t xml:space="preserve">one year </w:t>
            </w:r>
            <w:r w:rsidR="00D358E8" w:rsidRPr="008E781C">
              <w:rPr>
                <w:rFonts w:ascii="Century Gothic" w:hAnsi="Century Gothic"/>
                <w:color w:val="000000" w:themeColor="text1"/>
                <w:sz w:val="18"/>
                <w:szCs w:val="18"/>
                <w:lang w:val="en-GB"/>
              </w:rPr>
              <w:t>(Article 63(5) RELOEX) and can be renewed (Article 71 RELOEX).</w:t>
            </w:r>
            <w:r w:rsidR="00E04592" w:rsidRPr="008E781C">
              <w:rPr>
                <w:rFonts w:ascii="Century Gothic" w:hAnsi="Century Gothic"/>
                <w:color w:val="000000" w:themeColor="text1"/>
                <w:sz w:val="18"/>
                <w:szCs w:val="18"/>
                <w:lang w:val="en-GB"/>
              </w:rPr>
              <w:t xml:space="preserve"> Furthermore, there is a specific </w:t>
            </w:r>
            <w:r w:rsidR="00E04592" w:rsidRPr="008E781C">
              <w:rPr>
                <w:rFonts w:ascii="Century Gothic" w:hAnsi="Century Gothic"/>
                <w:b/>
                <w:color w:val="000000" w:themeColor="text1"/>
                <w:sz w:val="18"/>
                <w:szCs w:val="18"/>
                <w:lang w:val="en-GB"/>
              </w:rPr>
              <w:t xml:space="preserve">investors’ residence authorisation </w:t>
            </w:r>
            <w:r w:rsidR="00E04592" w:rsidRPr="008E781C">
              <w:rPr>
                <w:rFonts w:ascii="Century Gothic" w:hAnsi="Century Gothic"/>
                <w:color w:val="000000" w:themeColor="text1"/>
                <w:sz w:val="18"/>
                <w:szCs w:val="18"/>
                <w:lang w:val="en-GB"/>
              </w:rPr>
              <w:t xml:space="preserve">which has a duration of </w:t>
            </w:r>
            <w:r w:rsidR="00E04592" w:rsidRPr="008E781C">
              <w:rPr>
                <w:rFonts w:ascii="Century Gothic" w:hAnsi="Century Gothic"/>
                <w:b/>
                <w:color w:val="000000" w:themeColor="text1"/>
                <w:sz w:val="18"/>
                <w:szCs w:val="18"/>
                <w:lang w:val="en-GB"/>
              </w:rPr>
              <w:t>two years</w:t>
            </w:r>
            <w:r w:rsidR="00E04592" w:rsidRPr="008E781C">
              <w:rPr>
                <w:rFonts w:ascii="Century Gothic" w:hAnsi="Century Gothic"/>
                <w:color w:val="000000" w:themeColor="text1"/>
                <w:sz w:val="18"/>
                <w:szCs w:val="18"/>
                <w:lang w:val="en-GB"/>
              </w:rPr>
              <w:t xml:space="preserve"> and is renewable for periods of five years (Articles 66-67 Law 14/2013).</w:t>
            </w:r>
          </w:p>
          <w:p w14:paraId="475295AF" w14:textId="77777777" w:rsidR="00F711B8" w:rsidRPr="008E781C" w:rsidRDefault="00F711B8" w:rsidP="00F711B8">
            <w:pPr>
              <w:pStyle w:val="MMultilevel"/>
              <w:numPr>
                <w:ilvl w:val="0"/>
                <w:numId w:val="0"/>
              </w:numPr>
              <w:ind w:left="260"/>
              <w:rPr>
                <w:rFonts w:ascii="Century Gothic" w:hAnsi="Century Gothic"/>
                <w:color w:val="000000" w:themeColor="text1"/>
                <w:sz w:val="18"/>
                <w:szCs w:val="18"/>
                <w:lang w:val="en-GB"/>
              </w:rPr>
            </w:pPr>
          </w:p>
          <w:p w14:paraId="17CF73D4" w14:textId="17E5008B" w:rsidR="001B3C6E" w:rsidRPr="008E781C" w:rsidRDefault="001B3C6E" w:rsidP="00F711B8">
            <w:pPr>
              <w:pStyle w:val="MMultilevel"/>
              <w:numPr>
                <w:ilvl w:val="0"/>
                <w:numId w:val="0"/>
              </w:numPr>
              <w:ind w:left="260"/>
              <w:rPr>
                <w:rFonts w:ascii="Century Gothic" w:hAnsi="Century Gothic"/>
                <w:color w:val="000000" w:themeColor="text1"/>
                <w:sz w:val="18"/>
                <w:szCs w:val="18"/>
                <w:lang w:val="en-GB"/>
              </w:rPr>
            </w:pPr>
          </w:p>
        </w:tc>
      </w:tr>
      <w:tr w:rsidR="005C6474" w:rsidRPr="008E781C" w14:paraId="06F575AC" w14:textId="77777777" w:rsidTr="0096455D">
        <w:tc>
          <w:tcPr>
            <w:tcW w:w="1149" w:type="dxa"/>
            <w:shd w:val="clear" w:color="auto" w:fill="DBE5F1" w:themeFill="accent1" w:themeFillTint="33"/>
          </w:tcPr>
          <w:p w14:paraId="53225B89" w14:textId="77777777" w:rsidR="0007224E" w:rsidRPr="008E781C" w:rsidRDefault="0065225F"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lastRenderedPageBreak/>
              <w:t>Long-term residence</w:t>
            </w:r>
          </w:p>
          <w:p w14:paraId="3C74E436" w14:textId="61151603" w:rsidR="0065225F" w:rsidRPr="008E781C" w:rsidRDefault="0065225F" w:rsidP="0007224E">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(Article 32 LOEX)</w:t>
            </w:r>
          </w:p>
        </w:tc>
        <w:tc>
          <w:tcPr>
            <w:tcW w:w="2674" w:type="dxa"/>
            <w:shd w:val="clear" w:color="auto" w:fill="D9D9D9" w:themeFill="background1" w:themeFillShade="D9"/>
          </w:tcPr>
          <w:p w14:paraId="6B63BF62" w14:textId="54774192" w:rsidR="0007224E" w:rsidRPr="008E781C" w:rsidRDefault="00ED7BB9" w:rsidP="0007224E">
            <w:pPr>
              <w:pStyle w:val="MMultilevel"/>
              <w:numPr>
                <w:ilvl w:val="0"/>
                <w:numId w:val="0"/>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A</w:t>
            </w:r>
            <w:r w:rsidR="0065225F" w:rsidRPr="008E781C">
              <w:rPr>
                <w:rFonts w:ascii="Century Gothic" w:hAnsi="Century Gothic"/>
                <w:color w:val="000000" w:themeColor="text1"/>
                <w:sz w:val="18"/>
                <w:szCs w:val="18"/>
                <w:lang w:val="en-GB"/>
              </w:rPr>
              <w:t xml:space="preserve">uthorises </w:t>
            </w:r>
            <w:r w:rsidRPr="008E781C">
              <w:rPr>
                <w:rFonts w:ascii="Century Gothic" w:hAnsi="Century Gothic"/>
                <w:color w:val="000000" w:themeColor="text1"/>
                <w:sz w:val="18"/>
                <w:szCs w:val="18"/>
                <w:lang w:val="en-GB"/>
              </w:rPr>
              <w:t>individuals</w:t>
            </w:r>
            <w:r w:rsidR="0065225F" w:rsidRPr="008E781C">
              <w:rPr>
                <w:rFonts w:ascii="Century Gothic" w:hAnsi="Century Gothic"/>
                <w:color w:val="000000" w:themeColor="text1"/>
                <w:sz w:val="18"/>
                <w:szCs w:val="18"/>
                <w:lang w:val="en-GB"/>
              </w:rPr>
              <w:t xml:space="preserve"> to </w:t>
            </w:r>
            <w:r w:rsidR="0065225F" w:rsidRPr="008E781C">
              <w:rPr>
                <w:rFonts w:ascii="Century Gothic" w:hAnsi="Century Gothic"/>
                <w:b/>
                <w:color w:val="000000" w:themeColor="text1"/>
                <w:sz w:val="18"/>
                <w:szCs w:val="18"/>
                <w:lang w:val="en-GB"/>
              </w:rPr>
              <w:t>reside and work</w:t>
            </w:r>
            <w:r w:rsidR="0065225F" w:rsidRPr="008E781C">
              <w:rPr>
                <w:rFonts w:ascii="Century Gothic" w:hAnsi="Century Gothic"/>
                <w:color w:val="000000" w:themeColor="text1"/>
                <w:sz w:val="18"/>
                <w:szCs w:val="18"/>
                <w:lang w:val="en-GB"/>
              </w:rPr>
              <w:t xml:space="preserve"> in Spain for an </w:t>
            </w:r>
            <w:r w:rsidR="0065225F" w:rsidRPr="008E781C">
              <w:rPr>
                <w:rFonts w:ascii="Century Gothic" w:hAnsi="Century Gothic"/>
                <w:b/>
                <w:color w:val="000000" w:themeColor="text1"/>
                <w:sz w:val="18"/>
                <w:szCs w:val="18"/>
                <w:lang w:val="en-GB"/>
              </w:rPr>
              <w:t xml:space="preserve">indefinite period of time, </w:t>
            </w:r>
            <w:r w:rsidRPr="008E781C">
              <w:rPr>
                <w:rFonts w:ascii="Century Gothic" w:hAnsi="Century Gothic"/>
                <w:b/>
                <w:color w:val="000000" w:themeColor="text1"/>
                <w:sz w:val="18"/>
                <w:szCs w:val="18"/>
                <w:lang w:val="en-GB"/>
              </w:rPr>
              <w:t>under the same conditions as</w:t>
            </w:r>
            <w:r w:rsidR="0065225F" w:rsidRPr="008E781C">
              <w:rPr>
                <w:rFonts w:ascii="Century Gothic" w:hAnsi="Century Gothic"/>
                <w:b/>
                <w:color w:val="000000" w:themeColor="text1"/>
                <w:sz w:val="18"/>
                <w:szCs w:val="18"/>
                <w:lang w:val="en-GB"/>
              </w:rPr>
              <w:t xml:space="preserve"> Spanish citizens</w:t>
            </w:r>
            <w:r w:rsidR="0065225F" w:rsidRPr="008E781C">
              <w:rPr>
                <w:rFonts w:ascii="Century Gothic" w:hAnsi="Century Gothic"/>
                <w:color w:val="000000" w:themeColor="text1"/>
                <w:sz w:val="18"/>
                <w:szCs w:val="18"/>
                <w:lang w:val="en-GB"/>
              </w:rPr>
              <w:t>.</w:t>
            </w:r>
          </w:p>
        </w:tc>
        <w:tc>
          <w:tcPr>
            <w:tcW w:w="5188" w:type="dxa"/>
            <w:shd w:val="clear" w:color="auto" w:fill="D9D9D9" w:themeFill="background1" w:themeFillShade="D9"/>
          </w:tcPr>
          <w:p w14:paraId="29F0F5ED" w14:textId="1F144382" w:rsidR="00D358E8" w:rsidRPr="008E781C" w:rsidRDefault="00D358E8" w:rsidP="00D358E8">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b/>
                <w:color w:val="000000" w:themeColor="text1"/>
                <w:sz w:val="18"/>
                <w:szCs w:val="18"/>
                <w:lang w:val="en-GB"/>
              </w:rPr>
              <w:t xml:space="preserve">Long-term residence authorisation </w:t>
            </w:r>
            <w:r w:rsidRPr="008E781C">
              <w:rPr>
                <w:rFonts w:ascii="Century Gothic" w:hAnsi="Century Gothic"/>
                <w:color w:val="000000" w:themeColor="text1"/>
                <w:sz w:val="18"/>
                <w:szCs w:val="18"/>
                <w:lang w:val="en-GB"/>
              </w:rPr>
              <w:t>(Articles 148-149 RELOEX)</w:t>
            </w:r>
          </w:p>
          <w:p w14:paraId="6CB215A6" w14:textId="144D7B62" w:rsidR="0007224E" w:rsidRPr="008E781C" w:rsidRDefault="00D358E8" w:rsidP="005370CE">
            <w:pPr>
              <w:pStyle w:val="MMultilevel"/>
              <w:numPr>
                <w:ilvl w:val="0"/>
                <w:numId w:val="28"/>
              </w:numPr>
              <w:ind w:left="260" w:hanging="284"/>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If the authorisation is granted, a </w:t>
            </w:r>
            <w:r w:rsidRPr="008E781C">
              <w:rPr>
                <w:rFonts w:ascii="Century Gothic" w:hAnsi="Century Gothic"/>
                <w:b/>
                <w:color w:val="000000" w:themeColor="text1"/>
                <w:sz w:val="18"/>
                <w:szCs w:val="18"/>
                <w:lang w:val="en-GB"/>
              </w:rPr>
              <w:t xml:space="preserve">Foreigner Identification Card </w:t>
            </w:r>
            <w:r w:rsidRPr="008E781C">
              <w:rPr>
                <w:rFonts w:ascii="Century Gothic" w:hAnsi="Century Gothic"/>
                <w:color w:val="000000" w:themeColor="text1"/>
                <w:sz w:val="18"/>
                <w:szCs w:val="18"/>
                <w:lang w:val="en-GB"/>
              </w:rPr>
              <w:t>(</w:t>
            </w:r>
            <w:r w:rsidRPr="008E781C">
              <w:rPr>
                <w:rFonts w:ascii="Century Gothic" w:hAnsi="Century Gothic"/>
                <w:i/>
                <w:color w:val="000000" w:themeColor="text1"/>
                <w:sz w:val="18"/>
                <w:szCs w:val="18"/>
                <w:lang w:val="en-GB"/>
              </w:rPr>
              <w:t>Tarjeta de Identidad de Extranjero</w:t>
            </w:r>
            <w:r w:rsidRPr="008E781C">
              <w:rPr>
                <w:rFonts w:ascii="Century Gothic" w:hAnsi="Century Gothic"/>
                <w:color w:val="000000" w:themeColor="text1"/>
                <w:sz w:val="18"/>
                <w:szCs w:val="18"/>
                <w:lang w:val="en-GB"/>
              </w:rPr>
              <w:t>) is issued (Articles 148-149 RELOEX)</w:t>
            </w:r>
            <w:r w:rsidR="00595EBD" w:rsidRPr="008E781C">
              <w:rPr>
                <w:rFonts w:ascii="Century Gothic" w:hAnsi="Century Gothic"/>
                <w:color w:val="000000" w:themeColor="text1"/>
                <w:sz w:val="18"/>
                <w:szCs w:val="18"/>
                <w:lang w:val="en-GB"/>
              </w:rPr>
              <w:t>. It</w:t>
            </w:r>
            <w:r w:rsidRPr="008E781C">
              <w:rPr>
                <w:rFonts w:ascii="Century Gothic" w:hAnsi="Century Gothic"/>
                <w:color w:val="000000" w:themeColor="text1"/>
                <w:sz w:val="18"/>
                <w:szCs w:val="18"/>
                <w:lang w:val="en-GB"/>
              </w:rPr>
              <w:t xml:space="preserve"> must be renewed every </w:t>
            </w:r>
            <w:r w:rsidR="00ED7BB9" w:rsidRPr="008E781C">
              <w:rPr>
                <w:rFonts w:ascii="Century Gothic" w:hAnsi="Century Gothic"/>
                <w:color w:val="000000" w:themeColor="text1"/>
                <w:sz w:val="18"/>
                <w:szCs w:val="18"/>
                <w:lang w:val="en-GB"/>
              </w:rPr>
              <w:t xml:space="preserve">five </w:t>
            </w:r>
            <w:r w:rsidRPr="008E781C">
              <w:rPr>
                <w:rFonts w:ascii="Century Gothic" w:hAnsi="Century Gothic"/>
                <w:color w:val="000000" w:themeColor="text1"/>
                <w:sz w:val="18"/>
                <w:szCs w:val="18"/>
                <w:lang w:val="en-GB"/>
              </w:rPr>
              <w:t>years (Article 150 RELOEX)</w:t>
            </w:r>
            <w:r w:rsidR="00ED7BB9" w:rsidRPr="008E781C">
              <w:rPr>
                <w:rFonts w:ascii="Century Gothic" w:hAnsi="Century Gothic"/>
                <w:color w:val="000000" w:themeColor="text1"/>
                <w:sz w:val="18"/>
                <w:szCs w:val="18"/>
                <w:lang w:val="en-GB"/>
              </w:rPr>
              <w:t>.</w:t>
            </w:r>
            <w:r w:rsidR="004D3663" w:rsidRPr="008E781C">
              <w:rPr>
                <w:rStyle w:val="FootnoteReference"/>
                <w:rFonts w:ascii="Century Gothic" w:hAnsi="Century Gothic"/>
                <w:color w:val="000000" w:themeColor="text1"/>
                <w:sz w:val="18"/>
                <w:szCs w:val="18"/>
                <w:lang w:val="en-GB"/>
              </w:rPr>
              <w:footnoteReference w:id="18"/>
            </w:r>
          </w:p>
        </w:tc>
      </w:tr>
    </w:tbl>
    <w:p w14:paraId="6015F607" w14:textId="77777777" w:rsidR="003F4746" w:rsidRPr="008E781C" w:rsidRDefault="003F4746" w:rsidP="00B02F25">
      <w:pPr>
        <w:pStyle w:val="MMultilevel"/>
        <w:numPr>
          <w:ilvl w:val="0"/>
          <w:numId w:val="0"/>
        </w:numPr>
        <w:rPr>
          <w:i/>
          <w:color w:val="FF0000"/>
          <w:lang w:val="en-GB"/>
        </w:rPr>
      </w:pPr>
    </w:p>
    <w:p w14:paraId="393C307C" w14:textId="7B00A730" w:rsidR="00A37774" w:rsidRPr="008E781C" w:rsidRDefault="001D7DA5" w:rsidP="003B3938">
      <w:pPr>
        <w:pStyle w:val="MMultilevel"/>
        <w:rPr>
          <w:lang w:val="en-GB"/>
        </w:rPr>
      </w:pPr>
      <w:r w:rsidRPr="008E781C">
        <w:rPr>
          <w:b/>
          <w:i/>
          <w:color w:val="000000" w:themeColor="text1"/>
          <w:lang w:val="en-GB"/>
        </w:rPr>
        <w:t>Competent authorities</w:t>
      </w:r>
    </w:p>
    <w:p w14:paraId="503AB527" w14:textId="77777777" w:rsidR="00A37774" w:rsidRPr="008E781C" w:rsidRDefault="00A37774" w:rsidP="00A37774">
      <w:pPr>
        <w:pStyle w:val="MMultilevel"/>
        <w:numPr>
          <w:ilvl w:val="0"/>
          <w:numId w:val="0"/>
        </w:numPr>
        <w:rPr>
          <w:b/>
          <w:i/>
          <w:color w:val="000000" w:themeColor="text1"/>
          <w:lang w:val="en-GB"/>
        </w:rPr>
      </w:pPr>
    </w:p>
    <w:p w14:paraId="70D244B7" w14:textId="569746FF" w:rsidR="007672DD" w:rsidRPr="008E781C" w:rsidRDefault="007672DD" w:rsidP="004F64FA">
      <w:pPr>
        <w:pStyle w:val="MMultilevel"/>
        <w:numPr>
          <w:ilvl w:val="0"/>
          <w:numId w:val="0"/>
        </w:numPr>
        <w:rPr>
          <w:lang w:val="en-GB"/>
        </w:rPr>
      </w:pPr>
      <w:r w:rsidRPr="008E781C">
        <w:rPr>
          <w:lang w:val="en-GB"/>
        </w:rPr>
        <w:t>This Section provides an overview of the competent authorities regarding migration issues. A more detailed explanation of the authorities involved in the procedure to examine and, if appropriate, grant investors’ residence permits is provided in Section II.1.2 of this Report.</w:t>
      </w:r>
    </w:p>
    <w:p w14:paraId="0668E87B" w14:textId="77777777" w:rsidR="007672DD" w:rsidRPr="008E781C" w:rsidRDefault="007672DD" w:rsidP="004F64FA">
      <w:pPr>
        <w:pStyle w:val="MMultilevel"/>
        <w:numPr>
          <w:ilvl w:val="0"/>
          <w:numId w:val="0"/>
        </w:numPr>
        <w:rPr>
          <w:lang w:val="en-GB"/>
        </w:rPr>
      </w:pPr>
    </w:p>
    <w:p w14:paraId="04C7226E" w14:textId="29582C2D" w:rsidR="00EC27EF" w:rsidRPr="008E781C" w:rsidRDefault="001D7DA5" w:rsidP="004F64FA">
      <w:pPr>
        <w:pStyle w:val="MMultilevel"/>
        <w:numPr>
          <w:ilvl w:val="0"/>
          <w:numId w:val="0"/>
        </w:numPr>
        <w:rPr>
          <w:lang w:val="en-GB"/>
        </w:rPr>
      </w:pPr>
      <w:r w:rsidRPr="008E781C">
        <w:rPr>
          <w:lang w:val="en-GB"/>
        </w:rPr>
        <w:t>Under the Spanish Constitution, the General Administration of the State has exclusive competence on migration issues.</w:t>
      </w:r>
      <w:r w:rsidR="00A37774" w:rsidRPr="008E781C">
        <w:rPr>
          <w:rStyle w:val="FootnoteReference"/>
          <w:lang w:val="en-GB"/>
        </w:rPr>
        <w:footnoteReference w:id="19"/>
      </w:r>
      <w:r w:rsidRPr="008E781C">
        <w:rPr>
          <w:lang w:val="en-GB"/>
        </w:rPr>
        <w:t xml:space="preserve"> Specifically, the </w:t>
      </w:r>
      <w:r w:rsidRPr="008E781C">
        <w:rPr>
          <w:b/>
          <w:lang w:val="en-GB"/>
        </w:rPr>
        <w:t>Ministry of Employment and Social Security</w:t>
      </w:r>
      <w:r w:rsidR="0025608B" w:rsidRPr="008E781C">
        <w:rPr>
          <w:lang w:val="en-GB"/>
        </w:rPr>
        <w:t xml:space="preserve"> (</w:t>
      </w:r>
      <w:r w:rsidR="0025608B" w:rsidRPr="008E781C">
        <w:rPr>
          <w:i/>
          <w:lang w:val="en-GB"/>
        </w:rPr>
        <w:t>Ministerio de Empleo y Seguridad Social</w:t>
      </w:r>
      <w:r w:rsidR="0025608B" w:rsidRPr="008E781C">
        <w:rPr>
          <w:lang w:val="en-GB"/>
        </w:rPr>
        <w:t>, MESS)</w:t>
      </w:r>
      <w:r w:rsidRPr="008E781C">
        <w:rPr>
          <w:lang w:val="en-GB"/>
        </w:rPr>
        <w:t xml:space="preserve"> is the competent authority from the General Administration of the State for regulating migration issues.</w:t>
      </w:r>
      <w:r w:rsidR="00DA3F1C" w:rsidRPr="008E781C">
        <w:rPr>
          <w:rStyle w:val="FootnoteReference"/>
          <w:lang w:val="en-GB"/>
        </w:rPr>
        <w:footnoteReference w:id="20"/>
      </w:r>
      <w:r w:rsidRPr="008E781C">
        <w:rPr>
          <w:lang w:val="en-GB"/>
        </w:rPr>
        <w:t xml:space="preserve"> Within the </w:t>
      </w:r>
      <w:r w:rsidR="00ED7BB9" w:rsidRPr="008E781C">
        <w:rPr>
          <w:lang w:val="en-GB"/>
        </w:rPr>
        <w:t>MESS</w:t>
      </w:r>
      <w:r w:rsidRPr="008E781C">
        <w:rPr>
          <w:lang w:val="en-GB"/>
        </w:rPr>
        <w:t xml:space="preserve">, there is a </w:t>
      </w:r>
      <w:r w:rsidRPr="008E781C">
        <w:rPr>
          <w:b/>
          <w:lang w:val="en-GB"/>
        </w:rPr>
        <w:t>General Secretariat on Migratio</w:t>
      </w:r>
      <w:r w:rsidR="00DA3F1C" w:rsidRPr="008E781C">
        <w:rPr>
          <w:b/>
          <w:lang w:val="en-GB"/>
        </w:rPr>
        <w:t>n</w:t>
      </w:r>
      <w:r w:rsidR="0025608B" w:rsidRPr="008E781C">
        <w:rPr>
          <w:lang w:val="en-GB"/>
        </w:rPr>
        <w:t xml:space="preserve"> (</w:t>
      </w:r>
      <w:r w:rsidR="0025608B" w:rsidRPr="008E781C">
        <w:rPr>
          <w:i/>
          <w:lang w:val="en-GB"/>
        </w:rPr>
        <w:t>Secretaría General de Inmigración y Emigración</w:t>
      </w:r>
      <w:r w:rsidR="0025608B" w:rsidRPr="008E781C">
        <w:rPr>
          <w:lang w:val="en-GB"/>
        </w:rPr>
        <w:t>)</w:t>
      </w:r>
      <w:r w:rsidR="00DA3F1C" w:rsidRPr="008E781C">
        <w:rPr>
          <w:lang w:val="en-GB"/>
        </w:rPr>
        <w:t>, competent for Spanish migration policy.</w:t>
      </w:r>
      <w:r w:rsidR="00DA3F1C" w:rsidRPr="008E781C">
        <w:rPr>
          <w:rStyle w:val="FootnoteReference"/>
          <w:lang w:val="en-GB"/>
        </w:rPr>
        <w:footnoteReference w:id="21"/>
      </w:r>
      <w:r w:rsidR="0025608B" w:rsidRPr="008E781C">
        <w:rPr>
          <w:lang w:val="en-GB"/>
        </w:rPr>
        <w:t xml:space="preserve"> </w:t>
      </w:r>
      <w:r w:rsidR="00211AE7" w:rsidRPr="008E781C">
        <w:rPr>
          <w:lang w:val="en-GB"/>
        </w:rPr>
        <w:t>Under the leadership of</w:t>
      </w:r>
      <w:r w:rsidR="0025608B" w:rsidRPr="008E781C">
        <w:rPr>
          <w:lang w:val="en-GB"/>
        </w:rPr>
        <w:t xml:space="preserve"> the Secretariat, the </w:t>
      </w:r>
      <w:r w:rsidR="0025608B" w:rsidRPr="008E781C">
        <w:rPr>
          <w:b/>
          <w:lang w:val="en-GB"/>
        </w:rPr>
        <w:t>General Directorate on Migrations</w:t>
      </w:r>
      <w:r w:rsidR="0025608B" w:rsidRPr="008E781C">
        <w:rPr>
          <w:lang w:val="en-GB"/>
        </w:rPr>
        <w:t xml:space="preserve"> (</w:t>
      </w:r>
      <w:r w:rsidR="0025608B" w:rsidRPr="008E781C">
        <w:rPr>
          <w:i/>
          <w:lang w:val="en-GB"/>
        </w:rPr>
        <w:t>Dirección General de Migraciones</w:t>
      </w:r>
      <w:r w:rsidR="0025608B" w:rsidRPr="008E781C">
        <w:rPr>
          <w:lang w:val="en-GB"/>
        </w:rPr>
        <w:t xml:space="preserve">, DGM) is responsible for granting </w:t>
      </w:r>
      <w:r w:rsidR="0025608B" w:rsidRPr="008E781C">
        <w:rPr>
          <w:b/>
          <w:lang w:val="en-GB"/>
        </w:rPr>
        <w:t xml:space="preserve">residence </w:t>
      </w:r>
      <w:r w:rsidR="00EC27EF" w:rsidRPr="008E781C">
        <w:rPr>
          <w:b/>
          <w:lang w:val="en-GB"/>
        </w:rPr>
        <w:t xml:space="preserve">authorisations </w:t>
      </w:r>
      <w:r w:rsidR="0025608B" w:rsidRPr="008E781C">
        <w:rPr>
          <w:b/>
          <w:lang w:val="en-GB"/>
        </w:rPr>
        <w:t>for investors</w:t>
      </w:r>
      <w:r w:rsidR="0025608B" w:rsidRPr="008E781C">
        <w:rPr>
          <w:lang w:val="en-GB"/>
        </w:rPr>
        <w:t>.</w:t>
      </w:r>
      <w:r w:rsidR="0025608B" w:rsidRPr="008E781C">
        <w:rPr>
          <w:rStyle w:val="FootnoteReference"/>
          <w:lang w:val="en-GB"/>
        </w:rPr>
        <w:footnoteReference w:id="22"/>
      </w:r>
      <w:r w:rsidR="0025608B" w:rsidRPr="008E781C">
        <w:rPr>
          <w:lang w:val="en-GB"/>
        </w:rPr>
        <w:t xml:space="preserve"> </w:t>
      </w:r>
      <w:r w:rsidR="008A160E" w:rsidRPr="008E781C">
        <w:rPr>
          <w:lang w:val="en-GB"/>
        </w:rPr>
        <w:t xml:space="preserve">The processing of the applications </w:t>
      </w:r>
      <w:r w:rsidR="00ED7BB9" w:rsidRPr="008E781C">
        <w:rPr>
          <w:lang w:val="en-GB"/>
        </w:rPr>
        <w:t xml:space="preserve">for </w:t>
      </w:r>
      <w:r w:rsidR="008A160E" w:rsidRPr="008E781C">
        <w:rPr>
          <w:lang w:val="en-GB"/>
        </w:rPr>
        <w:t xml:space="preserve">such </w:t>
      </w:r>
      <w:r w:rsidR="00EC27EF" w:rsidRPr="008E781C">
        <w:rPr>
          <w:lang w:val="en-GB"/>
        </w:rPr>
        <w:t xml:space="preserve">authorisations </w:t>
      </w:r>
      <w:r w:rsidR="00ED7BB9" w:rsidRPr="008E781C">
        <w:rPr>
          <w:lang w:val="en-GB"/>
        </w:rPr>
        <w:t>rests with</w:t>
      </w:r>
      <w:r w:rsidR="008A160E" w:rsidRPr="008E781C">
        <w:rPr>
          <w:lang w:val="en-GB"/>
        </w:rPr>
        <w:t xml:space="preserve"> the </w:t>
      </w:r>
      <w:r w:rsidR="008A160E" w:rsidRPr="008E781C">
        <w:rPr>
          <w:b/>
          <w:lang w:val="en-GB"/>
        </w:rPr>
        <w:t>Unit of Large Undertakings and Strategic Collectives</w:t>
      </w:r>
      <w:r w:rsidR="008A160E" w:rsidRPr="008E781C">
        <w:rPr>
          <w:lang w:val="en-GB"/>
        </w:rPr>
        <w:t xml:space="preserve"> (</w:t>
      </w:r>
      <w:r w:rsidR="008A160E" w:rsidRPr="008E781C">
        <w:rPr>
          <w:i/>
          <w:lang w:val="en-GB"/>
        </w:rPr>
        <w:t>Unidad de Grandes Empresas y Colectivos Estratégicos</w:t>
      </w:r>
      <w:r w:rsidR="008A160E" w:rsidRPr="008E781C">
        <w:rPr>
          <w:lang w:val="en-GB"/>
        </w:rPr>
        <w:t xml:space="preserve">, UGE-CE), which </w:t>
      </w:r>
      <w:r w:rsidR="0045510F" w:rsidRPr="008E781C">
        <w:rPr>
          <w:lang w:val="en-GB"/>
        </w:rPr>
        <w:t>was established in 2007,</w:t>
      </w:r>
      <w:r w:rsidR="000A31C1" w:rsidRPr="008E781C">
        <w:rPr>
          <w:lang w:val="en-GB"/>
        </w:rPr>
        <w:t xml:space="preserve"> attached to the MESS.</w:t>
      </w:r>
      <w:r w:rsidR="0045510F" w:rsidRPr="008E781C">
        <w:rPr>
          <w:rStyle w:val="FootnoteReference"/>
          <w:lang w:val="en-GB"/>
        </w:rPr>
        <w:footnoteReference w:id="23"/>
      </w:r>
      <w:r w:rsidR="004F64FA" w:rsidRPr="008E781C">
        <w:rPr>
          <w:lang w:val="en-GB"/>
        </w:rPr>
        <w:t xml:space="preserve"> </w:t>
      </w:r>
    </w:p>
    <w:p w14:paraId="25E36921" w14:textId="77777777" w:rsidR="00EC27EF" w:rsidRPr="008E781C" w:rsidRDefault="00EC27EF" w:rsidP="004F64FA">
      <w:pPr>
        <w:pStyle w:val="MMultilevel"/>
        <w:numPr>
          <w:ilvl w:val="0"/>
          <w:numId w:val="0"/>
        </w:numPr>
        <w:rPr>
          <w:lang w:val="en-GB"/>
        </w:rPr>
      </w:pPr>
    </w:p>
    <w:p w14:paraId="5F90B3FE" w14:textId="50840DF5" w:rsidR="004F64FA" w:rsidRPr="008E781C" w:rsidRDefault="004F64FA" w:rsidP="004F64FA">
      <w:pPr>
        <w:pStyle w:val="MMultilevel"/>
        <w:numPr>
          <w:ilvl w:val="0"/>
          <w:numId w:val="0"/>
        </w:numPr>
        <w:rPr>
          <w:lang w:val="en-GB"/>
        </w:rPr>
      </w:pPr>
      <w:r w:rsidRPr="008E781C">
        <w:rPr>
          <w:lang w:val="en-GB"/>
        </w:rPr>
        <w:t xml:space="preserve">The </w:t>
      </w:r>
      <w:r w:rsidRPr="008E781C">
        <w:rPr>
          <w:b/>
          <w:lang w:val="en-GB"/>
        </w:rPr>
        <w:t xml:space="preserve">competent authorities </w:t>
      </w:r>
      <w:r w:rsidR="007E3EBE" w:rsidRPr="008E781C">
        <w:rPr>
          <w:b/>
          <w:lang w:val="en-GB"/>
        </w:rPr>
        <w:t>for issuing</w:t>
      </w:r>
      <w:r w:rsidRPr="008E781C">
        <w:rPr>
          <w:b/>
          <w:lang w:val="en-GB"/>
        </w:rPr>
        <w:t xml:space="preserve"> </w:t>
      </w:r>
      <w:r w:rsidR="00EC27EF" w:rsidRPr="008E781C">
        <w:rPr>
          <w:b/>
          <w:lang w:val="en-GB"/>
        </w:rPr>
        <w:t>visa</w:t>
      </w:r>
      <w:r w:rsidR="007E3EBE" w:rsidRPr="008E781C">
        <w:rPr>
          <w:b/>
          <w:lang w:val="en-GB"/>
        </w:rPr>
        <w:t>s</w:t>
      </w:r>
      <w:r w:rsidR="00EC27EF" w:rsidRPr="008E781C">
        <w:rPr>
          <w:lang w:val="en-GB"/>
        </w:rPr>
        <w:t xml:space="preserve"> under which foreign investor</w:t>
      </w:r>
      <w:r w:rsidR="007E3EBE" w:rsidRPr="008E781C">
        <w:rPr>
          <w:lang w:val="en-GB"/>
        </w:rPr>
        <w:t>s</w:t>
      </w:r>
      <w:r w:rsidR="00EC27EF" w:rsidRPr="008E781C">
        <w:rPr>
          <w:lang w:val="en-GB"/>
        </w:rPr>
        <w:t xml:space="preserve"> may enter Spanish territory (stay visa or investors’ residence visa)</w:t>
      </w:r>
      <w:r w:rsidRPr="008E781C">
        <w:rPr>
          <w:lang w:val="en-GB"/>
        </w:rPr>
        <w:t xml:space="preserve"> are the </w:t>
      </w:r>
      <w:r w:rsidRPr="008E781C">
        <w:rPr>
          <w:b/>
          <w:lang w:val="en-GB"/>
        </w:rPr>
        <w:t>diplomatic missions and consular offices</w:t>
      </w:r>
      <w:r w:rsidRPr="008E781C">
        <w:rPr>
          <w:lang w:val="en-GB"/>
        </w:rPr>
        <w:t xml:space="preserve"> of Spain.</w:t>
      </w:r>
      <w:r w:rsidRPr="008E781C">
        <w:rPr>
          <w:vertAlign w:val="superscript"/>
          <w:lang w:val="en-GB"/>
        </w:rPr>
        <w:footnoteReference w:id="24"/>
      </w:r>
    </w:p>
    <w:p w14:paraId="25A2D332" w14:textId="77777777" w:rsidR="003F4746" w:rsidRPr="008E781C" w:rsidRDefault="003F4746" w:rsidP="004F64FA">
      <w:pPr>
        <w:pStyle w:val="MMultilevel"/>
        <w:numPr>
          <w:ilvl w:val="0"/>
          <w:numId w:val="0"/>
        </w:numPr>
        <w:rPr>
          <w:lang w:val="en-GB"/>
        </w:rPr>
      </w:pPr>
    </w:p>
    <w:p w14:paraId="0C56CC35" w14:textId="4B04BD70" w:rsidR="003F4746" w:rsidRPr="008E781C" w:rsidRDefault="003F4746" w:rsidP="003F4746">
      <w:pPr>
        <w:pStyle w:val="Caption"/>
        <w:keepNext/>
        <w:jc w:val="both"/>
      </w:pPr>
      <w:r w:rsidRPr="008E781C">
        <w:lastRenderedPageBreak/>
        <w:t xml:space="preserve">Figure </w:t>
      </w:r>
      <w:r w:rsidR="00626E2C">
        <w:fldChar w:fldCharType="begin"/>
      </w:r>
      <w:r w:rsidR="00626E2C">
        <w:instrText xml:space="preserve"> SEQ Figure \* ARABIC </w:instrText>
      </w:r>
      <w:r w:rsidR="00626E2C">
        <w:fldChar w:fldCharType="separate"/>
      </w:r>
      <w:r w:rsidR="005F02F1" w:rsidRPr="008E781C">
        <w:rPr>
          <w:noProof/>
        </w:rPr>
        <w:t>2</w:t>
      </w:r>
      <w:r w:rsidR="00626E2C">
        <w:rPr>
          <w:noProof/>
        </w:rPr>
        <w:fldChar w:fldCharType="end"/>
      </w:r>
      <w:r w:rsidRPr="008E781C">
        <w:t xml:space="preserve"> Organigram of competent authorities in migration issues</w:t>
      </w:r>
    </w:p>
    <w:p w14:paraId="01EB2F4F" w14:textId="21B0B20C" w:rsidR="007E4F06" w:rsidRPr="008E781C" w:rsidRDefault="003F4746" w:rsidP="007E4F06">
      <w:pPr>
        <w:pStyle w:val="MBT"/>
        <w:rPr>
          <w:lang w:val="en-GB"/>
        </w:rPr>
      </w:pPr>
      <w:r w:rsidRPr="008E781C">
        <w:rPr>
          <w:noProof/>
          <w:lang w:val="fr-BE" w:eastAsia="fr-BE"/>
        </w:rPr>
        <w:drawing>
          <wp:inline distT="0" distB="0" distL="0" distR="0" wp14:anchorId="11616BF8" wp14:editId="76BBE798">
            <wp:extent cx="5358765" cy="27190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8765" cy="2719070"/>
                    </a:xfrm>
                    <a:prstGeom prst="rect">
                      <a:avLst/>
                    </a:prstGeom>
                    <a:noFill/>
                  </pic:spPr>
                </pic:pic>
              </a:graphicData>
            </a:graphic>
          </wp:inline>
        </w:drawing>
      </w:r>
    </w:p>
    <w:p w14:paraId="1BFD39B0" w14:textId="77777777" w:rsidR="00AC2EEB" w:rsidRPr="008E781C" w:rsidRDefault="00AC2EEB" w:rsidP="00963AC9">
      <w:pPr>
        <w:pStyle w:val="MH1nonumb"/>
        <w:numPr>
          <w:ilvl w:val="0"/>
          <w:numId w:val="10"/>
        </w:numPr>
        <w:ind w:left="426" w:hanging="284"/>
      </w:pPr>
      <w:bookmarkStart w:id="5" w:name="_Toc496025533"/>
      <w:bookmarkStart w:id="6" w:name="_Toc496124920"/>
      <w:bookmarkStart w:id="7" w:name="_Toc520923926"/>
      <w:r w:rsidRPr="008E781C">
        <w:lastRenderedPageBreak/>
        <w:t>PROCEDURES, COMPETENT AUTHORITIES AND APPLICABLE CRITERIA</w:t>
      </w:r>
      <w:bookmarkEnd w:id="5"/>
      <w:bookmarkEnd w:id="6"/>
      <w:bookmarkEnd w:id="7"/>
    </w:p>
    <w:p w14:paraId="5C9AC3D7" w14:textId="2B64E6C0" w:rsidR="00AC2EEB" w:rsidRPr="008E781C" w:rsidRDefault="00AC2EEB" w:rsidP="001C1E15">
      <w:pPr>
        <w:pStyle w:val="MH1"/>
        <w:pageBreakBefore w:val="0"/>
        <w:ind w:left="431" w:hanging="431"/>
      </w:pPr>
      <w:bookmarkStart w:id="8" w:name="_Toc496025534"/>
      <w:bookmarkStart w:id="9" w:name="_Toc496124921"/>
      <w:bookmarkStart w:id="10" w:name="_Toc520923927"/>
      <w:r w:rsidRPr="008E781C">
        <w:t>Application Phase</w:t>
      </w:r>
      <w:bookmarkEnd w:id="8"/>
      <w:bookmarkEnd w:id="9"/>
      <w:bookmarkEnd w:id="10"/>
    </w:p>
    <w:p w14:paraId="5266FCDC" w14:textId="0DE486CC" w:rsidR="00B311A7" w:rsidRPr="008E781C" w:rsidRDefault="00B311A7" w:rsidP="0001799A">
      <w:pPr>
        <w:pStyle w:val="MH2"/>
        <w:outlineLvl w:val="9"/>
      </w:pPr>
      <w:r w:rsidRPr="008E781C">
        <w:t>Procedures</w:t>
      </w:r>
    </w:p>
    <w:p w14:paraId="53FF6687" w14:textId="47DAAFF0" w:rsidR="00B311A7" w:rsidRPr="008E781C" w:rsidRDefault="00CF6F46" w:rsidP="003B3938">
      <w:pPr>
        <w:pStyle w:val="MMultilevel"/>
        <w:rPr>
          <w:b/>
          <w:i/>
          <w:color w:val="FF0000"/>
          <w:lang w:val="en-GB"/>
        </w:rPr>
      </w:pPr>
      <w:r w:rsidRPr="008E781C">
        <w:rPr>
          <w:b/>
          <w:i/>
          <w:lang w:val="en-GB"/>
        </w:rPr>
        <w:t>W</w:t>
      </w:r>
      <w:r w:rsidR="00B311A7" w:rsidRPr="008E781C">
        <w:rPr>
          <w:b/>
          <w:i/>
          <w:lang w:val="en-GB"/>
        </w:rPr>
        <w:t>ho can apply for a residence permit under the investors’ residence schemes</w:t>
      </w:r>
    </w:p>
    <w:p w14:paraId="7630AEA0" w14:textId="09187D16" w:rsidR="001258D1" w:rsidRPr="008E781C" w:rsidRDefault="001258D1" w:rsidP="001258D1">
      <w:pPr>
        <w:pStyle w:val="MMultilevel"/>
        <w:numPr>
          <w:ilvl w:val="0"/>
          <w:numId w:val="0"/>
        </w:numPr>
        <w:ind w:left="425" w:hanging="425"/>
        <w:rPr>
          <w:i/>
          <w:color w:val="FF0000"/>
          <w:lang w:val="en-GB"/>
        </w:rPr>
      </w:pPr>
    </w:p>
    <w:p w14:paraId="0B83616E" w14:textId="797E2F69" w:rsidR="001258D1" w:rsidRPr="008E781C" w:rsidRDefault="001258D1" w:rsidP="001258D1">
      <w:pPr>
        <w:pStyle w:val="MMultilevel"/>
        <w:numPr>
          <w:ilvl w:val="0"/>
          <w:numId w:val="0"/>
        </w:numPr>
        <w:rPr>
          <w:lang w:val="en-GB"/>
        </w:rPr>
      </w:pPr>
      <w:r w:rsidRPr="008E781C">
        <w:rPr>
          <w:b/>
          <w:lang w:val="en-GB"/>
        </w:rPr>
        <w:t>Foreigners not residing in the Spanish territory</w:t>
      </w:r>
      <w:r w:rsidRPr="008E781C">
        <w:rPr>
          <w:lang w:val="en-GB"/>
        </w:rPr>
        <w:t xml:space="preserve"> may apply for an </w:t>
      </w:r>
      <w:r w:rsidRPr="008E781C">
        <w:rPr>
          <w:b/>
          <w:lang w:val="en-GB"/>
        </w:rPr>
        <w:t>investors’ residence visa</w:t>
      </w:r>
      <w:r w:rsidRPr="008E781C">
        <w:rPr>
          <w:lang w:val="en-GB"/>
        </w:rPr>
        <w:t xml:space="preserve"> (</w:t>
      </w:r>
      <w:r w:rsidRPr="008E781C">
        <w:rPr>
          <w:i/>
          <w:lang w:val="en-GB"/>
        </w:rPr>
        <w:t>visado de residencia para inversores</w:t>
      </w:r>
      <w:r w:rsidRPr="008E781C">
        <w:rPr>
          <w:lang w:val="en-GB"/>
        </w:rPr>
        <w:t>).</w:t>
      </w:r>
      <w:r w:rsidRPr="008E781C">
        <w:rPr>
          <w:rStyle w:val="FootnoteReference"/>
          <w:lang w:val="en-GB"/>
        </w:rPr>
        <w:footnoteReference w:id="25"/>
      </w:r>
      <w:r w:rsidRPr="008E781C">
        <w:rPr>
          <w:lang w:val="en-GB"/>
        </w:rPr>
        <w:t xml:space="preserve"> Under the Spanish general law on aliens</w:t>
      </w:r>
      <w:r w:rsidR="00D71726" w:rsidRPr="008E781C">
        <w:rPr>
          <w:lang w:val="en-GB"/>
        </w:rPr>
        <w:t xml:space="preserve"> (Organic Law 4/2000</w:t>
      </w:r>
      <w:r w:rsidR="00942CA0" w:rsidRPr="008E781C">
        <w:rPr>
          <w:lang w:val="en-GB"/>
        </w:rPr>
        <w:t>, LOEX</w:t>
      </w:r>
      <w:r w:rsidR="00D71726" w:rsidRPr="008E781C">
        <w:rPr>
          <w:lang w:val="en-GB"/>
        </w:rPr>
        <w:t>)</w:t>
      </w:r>
      <w:r w:rsidRPr="008E781C">
        <w:rPr>
          <w:lang w:val="en-GB"/>
        </w:rPr>
        <w:t>,</w:t>
      </w:r>
      <w:r w:rsidRPr="008E781C">
        <w:rPr>
          <w:rStyle w:val="FootnoteReference"/>
          <w:lang w:val="en-GB"/>
        </w:rPr>
        <w:footnoteReference w:id="26"/>
      </w:r>
      <w:r w:rsidRPr="008E781C">
        <w:rPr>
          <w:lang w:val="en-GB"/>
        </w:rPr>
        <w:t xml:space="preserve"> foreigners are persons who do not hold the Spanish citizenship.</w:t>
      </w:r>
      <w:r w:rsidRPr="008E781C">
        <w:rPr>
          <w:rStyle w:val="FootnoteReference"/>
          <w:lang w:val="en-GB"/>
        </w:rPr>
        <w:footnoteReference w:id="27"/>
      </w:r>
      <w:r w:rsidRPr="008E781C">
        <w:rPr>
          <w:lang w:val="en-GB"/>
        </w:rPr>
        <w:t xml:space="preserve"> </w:t>
      </w:r>
      <w:r w:rsidR="007B3D4F" w:rsidRPr="008E781C">
        <w:rPr>
          <w:lang w:val="en-GB"/>
        </w:rPr>
        <w:t>This</w:t>
      </w:r>
      <w:r w:rsidRPr="008E781C">
        <w:rPr>
          <w:lang w:val="en-GB"/>
        </w:rPr>
        <w:t xml:space="preserve"> same law also provides that it is not applicable to EU</w:t>
      </w:r>
      <w:r w:rsidR="007E3EBE" w:rsidRPr="008E781C">
        <w:rPr>
          <w:lang w:val="en-GB"/>
        </w:rPr>
        <w:t xml:space="preserve"> and EEA</w:t>
      </w:r>
      <w:r w:rsidRPr="008E781C">
        <w:rPr>
          <w:lang w:val="en-GB"/>
        </w:rPr>
        <w:t xml:space="preserve"> citizens.</w:t>
      </w:r>
      <w:r w:rsidRPr="008E781C">
        <w:rPr>
          <w:rStyle w:val="FootnoteReference"/>
          <w:lang w:val="en-GB"/>
        </w:rPr>
        <w:footnoteReference w:id="28"/>
      </w:r>
      <w:r w:rsidRPr="008E781C">
        <w:rPr>
          <w:lang w:val="en-GB"/>
        </w:rPr>
        <w:t xml:space="preserve"> Therefore, foreigners, in the terms of the Spanish legislation, are third-country nationals.</w:t>
      </w:r>
      <w:r w:rsidR="002B399D" w:rsidRPr="008E781C">
        <w:rPr>
          <w:lang w:val="en-GB"/>
        </w:rPr>
        <w:t xml:space="preserve"> </w:t>
      </w:r>
    </w:p>
    <w:p w14:paraId="0A4EC683" w14:textId="0B223894" w:rsidR="002B399D" w:rsidRPr="008E781C" w:rsidRDefault="002B399D" w:rsidP="001258D1">
      <w:pPr>
        <w:pStyle w:val="MMultilevel"/>
        <w:numPr>
          <w:ilvl w:val="0"/>
          <w:numId w:val="0"/>
        </w:numPr>
        <w:rPr>
          <w:lang w:val="en-GB"/>
        </w:rPr>
      </w:pPr>
    </w:p>
    <w:p w14:paraId="26CC08D1" w14:textId="0E710DB7" w:rsidR="00BA11CB" w:rsidRPr="008E781C" w:rsidRDefault="00B71B43" w:rsidP="001258D1">
      <w:pPr>
        <w:pStyle w:val="MMultilevel"/>
        <w:numPr>
          <w:ilvl w:val="0"/>
          <w:numId w:val="0"/>
        </w:numPr>
        <w:rPr>
          <w:lang w:val="en-GB"/>
        </w:rPr>
      </w:pPr>
      <w:r w:rsidRPr="008E781C">
        <w:rPr>
          <w:lang w:val="en-GB"/>
        </w:rPr>
        <w:t>T</w:t>
      </w:r>
      <w:r w:rsidR="00D83A13" w:rsidRPr="008E781C">
        <w:rPr>
          <w:lang w:val="en-GB"/>
        </w:rPr>
        <w:t xml:space="preserve">he </w:t>
      </w:r>
      <w:r w:rsidR="00446E8A" w:rsidRPr="008E781C">
        <w:rPr>
          <w:b/>
          <w:lang w:val="en-GB"/>
        </w:rPr>
        <w:t>investors’</w:t>
      </w:r>
      <w:r w:rsidR="00446E8A" w:rsidRPr="008E781C">
        <w:rPr>
          <w:lang w:val="en-GB"/>
        </w:rPr>
        <w:t xml:space="preserve"> </w:t>
      </w:r>
      <w:r w:rsidR="00D83A13" w:rsidRPr="008E781C">
        <w:rPr>
          <w:b/>
          <w:lang w:val="en-GB"/>
        </w:rPr>
        <w:t>residence visa</w:t>
      </w:r>
      <w:r w:rsidR="00D83A13" w:rsidRPr="008E781C">
        <w:rPr>
          <w:lang w:val="en-GB"/>
        </w:rPr>
        <w:t xml:space="preserve"> entitles the holder </w:t>
      </w:r>
      <w:r w:rsidR="00D83A13" w:rsidRPr="008E781C">
        <w:rPr>
          <w:b/>
          <w:lang w:val="en-GB"/>
        </w:rPr>
        <w:t>to stay and work</w:t>
      </w:r>
      <w:r w:rsidR="00D83A13" w:rsidRPr="008E781C">
        <w:rPr>
          <w:lang w:val="en-GB"/>
        </w:rPr>
        <w:t xml:space="preserve"> in Spain during the period of validity (</w:t>
      </w:r>
      <w:r w:rsidR="00D83A13" w:rsidRPr="008E781C">
        <w:rPr>
          <w:b/>
          <w:lang w:val="en-GB"/>
        </w:rPr>
        <w:t>one year</w:t>
      </w:r>
      <w:r w:rsidR="00D83A13" w:rsidRPr="008E781C">
        <w:rPr>
          <w:lang w:val="en-GB"/>
        </w:rPr>
        <w:t>).</w:t>
      </w:r>
      <w:r w:rsidR="00D83A13" w:rsidRPr="008E781C">
        <w:rPr>
          <w:rStyle w:val="FootnoteReference"/>
          <w:lang w:val="en-GB"/>
        </w:rPr>
        <w:footnoteReference w:id="29"/>
      </w:r>
      <w:r w:rsidR="00D83A13" w:rsidRPr="008E781C">
        <w:rPr>
          <w:lang w:val="en-GB"/>
        </w:rPr>
        <w:t xml:space="preserve"> </w:t>
      </w:r>
    </w:p>
    <w:p w14:paraId="189B246A" w14:textId="77777777" w:rsidR="00BA11CB" w:rsidRPr="008E781C" w:rsidRDefault="00BA11CB" w:rsidP="001258D1">
      <w:pPr>
        <w:pStyle w:val="MMultilevel"/>
        <w:numPr>
          <w:ilvl w:val="0"/>
          <w:numId w:val="0"/>
        </w:numPr>
        <w:rPr>
          <w:lang w:val="en-GB"/>
        </w:rPr>
      </w:pPr>
    </w:p>
    <w:p w14:paraId="3AE146F4" w14:textId="2227ECE4" w:rsidR="002B399D" w:rsidRPr="008E781C" w:rsidRDefault="00595EBD" w:rsidP="001258D1">
      <w:pPr>
        <w:pStyle w:val="MMultilevel"/>
        <w:numPr>
          <w:ilvl w:val="0"/>
          <w:numId w:val="0"/>
        </w:numPr>
        <w:rPr>
          <w:lang w:val="en-GB"/>
        </w:rPr>
      </w:pPr>
      <w:r w:rsidRPr="008E781C">
        <w:rPr>
          <w:lang w:val="en-GB"/>
        </w:rPr>
        <w:t>Foreign i</w:t>
      </w:r>
      <w:r w:rsidR="00D83A13" w:rsidRPr="008E781C">
        <w:rPr>
          <w:lang w:val="en-GB"/>
        </w:rPr>
        <w:t>nvestors</w:t>
      </w:r>
      <w:r w:rsidRPr="008E781C">
        <w:rPr>
          <w:lang w:val="en-GB"/>
        </w:rPr>
        <w:t xml:space="preserve"> who </w:t>
      </w:r>
      <w:r w:rsidRPr="008E781C">
        <w:rPr>
          <w:b/>
          <w:lang w:val="en-GB"/>
        </w:rPr>
        <w:t>are already legally residing in</w:t>
      </w:r>
      <w:r w:rsidRPr="008E781C">
        <w:rPr>
          <w:lang w:val="en-GB"/>
        </w:rPr>
        <w:t xml:space="preserve"> </w:t>
      </w:r>
      <w:r w:rsidRPr="008E781C">
        <w:rPr>
          <w:b/>
          <w:lang w:val="en-GB"/>
        </w:rPr>
        <w:t xml:space="preserve">Spain </w:t>
      </w:r>
      <w:r w:rsidRPr="008E781C">
        <w:rPr>
          <w:lang w:val="en-GB"/>
        </w:rPr>
        <w:t xml:space="preserve">(whether under an investors’ visa or any other type of permit) </w:t>
      </w:r>
      <w:r w:rsidR="00FB017F" w:rsidRPr="008E781C">
        <w:rPr>
          <w:lang w:val="en-GB"/>
        </w:rPr>
        <w:t xml:space="preserve">can </w:t>
      </w:r>
      <w:r w:rsidRPr="008E781C">
        <w:rPr>
          <w:lang w:val="en-GB"/>
        </w:rPr>
        <w:t>directly</w:t>
      </w:r>
      <w:r w:rsidR="00D83A13" w:rsidRPr="008E781C">
        <w:rPr>
          <w:lang w:val="en-GB"/>
        </w:rPr>
        <w:t xml:space="preserve"> apply for</w:t>
      </w:r>
      <w:r w:rsidR="00DB131B" w:rsidRPr="008E781C">
        <w:rPr>
          <w:lang w:val="en-GB"/>
        </w:rPr>
        <w:t xml:space="preserve"> and obtain</w:t>
      </w:r>
      <w:r w:rsidR="00D83A13" w:rsidRPr="008E781C">
        <w:rPr>
          <w:lang w:val="en-GB"/>
        </w:rPr>
        <w:t xml:space="preserve"> a </w:t>
      </w:r>
      <w:r w:rsidR="00D83A13" w:rsidRPr="008E781C">
        <w:rPr>
          <w:b/>
          <w:lang w:val="en-GB"/>
        </w:rPr>
        <w:t>residence authori</w:t>
      </w:r>
      <w:r w:rsidR="007B3D4F" w:rsidRPr="008E781C">
        <w:rPr>
          <w:b/>
          <w:lang w:val="en-GB"/>
        </w:rPr>
        <w:t>s</w:t>
      </w:r>
      <w:r w:rsidR="00D83A13" w:rsidRPr="008E781C">
        <w:rPr>
          <w:b/>
          <w:lang w:val="en-GB"/>
        </w:rPr>
        <w:t>ation</w:t>
      </w:r>
      <w:r w:rsidR="00D83A13" w:rsidRPr="008E781C">
        <w:rPr>
          <w:lang w:val="en-GB"/>
        </w:rPr>
        <w:t xml:space="preserve"> (</w:t>
      </w:r>
      <w:r w:rsidR="00D83A13" w:rsidRPr="008E781C">
        <w:rPr>
          <w:i/>
          <w:lang w:val="en-GB"/>
        </w:rPr>
        <w:t>autorización de residencia</w:t>
      </w:r>
      <w:r w:rsidR="00D83A13" w:rsidRPr="008E781C">
        <w:rPr>
          <w:lang w:val="en-GB"/>
        </w:rPr>
        <w:t>).</w:t>
      </w:r>
      <w:r w:rsidR="00D83A13" w:rsidRPr="008E781C">
        <w:rPr>
          <w:rStyle w:val="FootnoteReference"/>
          <w:lang w:val="en-GB"/>
        </w:rPr>
        <w:footnoteReference w:id="30"/>
      </w:r>
      <w:r w:rsidRPr="008E781C">
        <w:rPr>
          <w:lang w:val="en-GB"/>
        </w:rPr>
        <w:t xml:space="preserve"> Therefore, it is not a prerequisite that the investor holds an investors’ residence visa to apply for an investors’ residence authorisation. The only prerequisite is that the investor is already legally residing in Spain, regardless under which legal permit.</w:t>
      </w:r>
      <w:r w:rsidRPr="008E781C">
        <w:rPr>
          <w:rStyle w:val="FootnoteReference"/>
          <w:lang w:val="en-GB"/>
        </w:rPr>
        <w:footnoteReference w:id="31"/>
      </w:r>
    </w:p>
    <w:p w14:paraId="5CB99ED8" w14:textId="580FA427" w:rsidR="00BA11CB" w:rsidRPr="008E781C" w:rsidRDefault="00BA11CB" w:rsidP="001258D1">
      <w:pPr>
        <w:pStyle w:val="MMultilevel"/>
        <w:numPr>
          <w:ilvl w:val="0"/>
          <w:numId w:val="0"/>
        </w:numPr>
        <w:rPr>
          <w:lang w:val="en-GB"/>
        </w:rPr>
      </w:pPr>
    </w:p>
    <w:p w14:paraId="6B194448" w14:textId="458E48A8" w:rsidR="00BA11CB" w:rsidRPr="008E781C" w:rsidRDefault="009E1DA3" w:rsidP="001258D1">
      <w:pPr>
        <w:pStyle w:val="MMultilevel"/>
        <w:numPr>
          <w:ilvl w:val="0"/>
          <w:numId w:val="0"/>
        </w:numPr>
        <w:rPr>
          <w:lang w:val="en-GB"/>
        </w:rPr>
      </w:pPr>
      <w:r w:rsidRPr="008E781C">
        <w:rPr>
          <w:lang w:val="en-GB"/>
        </w:rPr>
        <w:t xml:space="preserve">The procedure to obtain each of these </w:t>
      </w:r>
      <w:r w:rsidR="00FB017F" w:rsidRPr="008E781C">
        <w:rPr>
          <w:lang w:val="en-GB"/>
        </w:rPr>
        <w:t>permit</w:t>
      </w:r>
      <w:r w:rsidRPr="008E781C">
        <w:rPr>
          <w:lang w:val="en-GB"/>
        </w:rPr>
        <w:t xml:space="preserve">s is explained below. </w:t>
      </w:r>
    </w:p>
    <w:p w14:paraId="2A15B9B6" w14:textId="1E823EEE" w:rsidR="009E1DA3" w:rsidRPr="008E781C" w:rsidRDefault="009E1DA3" w:rsidP="001258D1">
      <w:pPr>
        <w:pStyle w:val="MMultilevel"/>
        <w:numPr>
          <w:ilvl w:val="0"/>
          <w:numId w:val="0"/>
        </w:numPr>
        <w:rPr>
          <w:lang w:val="en-GB"/>
        </w:rPr>
      </w:pPr>
    </w:p>
    <w:p w14:paraId="54ABFB21" w14:textId="6D0AD44B" w:rsidR="002B399D" w:rsidRPr="008E781C" w:rsidRDefault="00CF6F46" w:rsidP="002B399D">
      <w:pPr>
        <w:pStyle w:val="MMultilevel"/>
        <w:rPr>
          <w:b/>
          <w:i/>
          <w:lang w:val="en-GB"/>
        </w:rPr>
      </w:pPr>
      <w:r w:rsidRPr="008E781C">
        <w:rPr>
          <w:b/>
          <w:i/>
          <w:lang w:val="en-GB"/>
        </w:rPr>
        <w:t>Procedural stages</w:t>
      </w:r>
      <w:r w:rsidR="00F62546" w:rsidRPr="008E781C">
        <w:rPr>
          <w:b/>
          <w:i/>
          <w:lang w:val="en-GB"/>
        </w:rPr>
        <w:t xml:space="preserve"> </w:t>
      </w:r>
    </w:p>
    <w:p w14:paraId="78165ED7" w14:textId="0D41571E" w:rsidR="002B399D" w:rsidRPr="008E781C" w:rsidRDefault="002B399D" w:rsidP="002B399D">
      <w:pPr>
        <w:pStyle w:val="MMultilevel"/>
        <w:numPr>
          <w:ilvl w:val="0"/>
          <w:numId w:val="0"/>
        </w:numPr>
        <w:rPr>
          <w:i/>
          <w:color w:val="FF0000"/>
          <w:lang w:val="en-GB"/>
        </w:rPr>
      </w:pPr>
    </w:p>
    <w:p w14:paraId="5D8894B0" w14:textId="72F460E8" w:rsidR="0095120B" w:rsidRPr="008E781C" w:rsidRDefault="00D83A13" w:rsidP="007B3D4F">
      <w:pPr>
        <w:pStyle w:val="MMultilevel"/>
        <w:numPr>
          <w:ilvl w:val="0"/>
          <w:numId w:val="0"/>
        </w:numPr>
        <w:rPr>
          <w:lang w:val="en-GB"/>
        </w:rPr>
      </w:pPr>
      <w:r w:rsidRPr="008E781C">
        <w:rPr>
          <w:lang w:val="en-GB"/>
        </w:rPr>
        <w:t xml:space="preserve">Investors intending to </w:t>
      </w:r>
      <w:r w:rsidR="009E1DA3" w:rsidRPr="008E781C">
        <w:rPr>
          <w:b/>
          <w:lang w:val="en-GB"/>
        </w:rPr>
        <w:t>enter</w:t>
      </w:r>
      <w:r w:rsidR="009E1DA3" w:rsidRPr="008E781C">
        <w:rPr>
          <w:lang w:val="en-GB"/>
        </w:rPr>
        <w:t xml:space="preserve"> </w:t>
      </w:r>
      <w:r w:rsidRPr="008E781C">
        <w:rPr>
          <w:lang w:val="en-GB"/>
        </w:rPr>
        <w:t xml:space="preserve">the Spanish territory are subject to the </w:t>
      </w:r>
      <w:r w:rsidR="003A4DD5" w:rsidRPr="008E781C">
        <w:rPr>
          <w:lang w:val="en-GB"/>
        </w:rPr>
        <w:t>same rules of entry as other ordinary migrants.</w:t>
      </w:r>
      <w:r w:rsidR="003A4DD5" w:rsidRPr="008E781C">
        <w:rPr>
          <w:rStyle w:val="FootnoteReference"/>
          <w:lang w:val="en-GB"/>
        </w:rPr>
        <w:footnoteReference w:id="32"/>
      </w:r>
      <w:r w:rsidR="003A4DD5" w:rsidRPr="008E781C">
        <w:rPr>
          <w:lang w:val="en-GB"/>
        </w:rPr>
        <w:t xml:space="preserve"> To enter </w:t>
      </w:r>
      <w:r w:rsidR="007E3EBE" w:rsidRPr="008E781C">
        <w:rPr>
          <w:lang w:val="en-GB"/>
        </w:rPr>
        <w:t>Spain</w:t>
      </w:r>
      <w:r w:rsidR="003A4DD5" w:rsidRPr="008E781C">
        <w:rPr>
          <w:lang w:val="en-GB"/>
        </w:rPr>
        <w:t xml:space="preserve">, </w:t>
      </w:r>
      <w:r w:rsidR="007E3EBE" w:rsidRPr="008E781C">
        <w:rPr>
          <w:lang w:val="en-GB"/>
        </w:rPr>
        <w:t>they</w:t>
      </w:r>
      <w:r w:rsidR="003A4DD5" w:rsidRPr="008E781C">
        <w:rPr>
          <w:lang w:val="en-GB"/>
        </w:rPr>
        <w:t xml:space="preserve"> must</w:t>
      </w:r>
      <w:r w:rsidR="00ED5D75" w:rsidRPr="008E781C">
        <w:rPr>
          <w:lang w:val="en-GB"/>
        </w:rPr>
        <w:t xml:space="preserve"> do so through the </w:t>
      </w:r>
      <w:r w:rsidR="00ED5D75" w:rsidRPr="008E781C">
        <w:rPr>
          <w:b/>
          <w:lang w:val="en-GB"/>
        </w:rPr>
        <w:t>authorised border crossings</w:t>
      </w:r>
      <w:r w:rsidR="00E43F4A" w:rsidRPr="008E781C">
        <w:rPr>
          <w:b/>
          <w:lang w:val="en-GB"/>
        </w:rPr>
        <w:t xml:space="preserve"> </w:t>
      </w:r>
      <w:r w:rsidR="00E43F4A" w:rsidRPr="008E781C">
        <w:rPr>
          <w:lang w:val="en-GB"/>
        </w:rPr>
        <w:t>(</w:t>
      </w:r>
      <w:r w:rsidR="00E43F4A" w:rsidRPr="008E781C">
        <w:rPr>
          <w:i/>
          <w:lang w:val="en-GB"/>
        </w:rPr>
        <w:t>puestos habilitados</w:t>
      </w:r>
      <w:r w:rsidR="00E43F4A" w:rsidRPr="008E781C">
        <w:rPr>
          <w:lang w:val="en-GB"/>
        </w:rPr>
        <w:t>)</w:t>
      </w:r>
      <w:r w:rsidR="00ED5D75" w:rsidRPr="008E781C">
        <w:rPr>
          <w:lang w:val="en-GB"/>
        </w:rPr>
        <w:t>.</w:t>
      </w:r>
      <w:r w:rsidR="00ED5D75" w:rsidRPr="008E781C">
        <w:rPr>
          <w:rStyle w:val="FootnoteReference"/>
          <w:lang w:val="en-GB"/>
        </w:rPr>
        <w:footnoteReference w:id="33"/>
      </w:r>
      <w:r w:rsidR="00ED5D75" w:rsidRPr="008E781C">
        <w:rPr>
          <w:lang w:val="en-GB"/>
        </w:rPr>
        <w:t xml:space="preserve"> </w:t>
      </w:r>
    </w:p>
    <w:p w14:paraId="7D0D0534" w14:textId="77777777" w:rsidR="0095120B" w:rsidRPr="008E781C" w:rsidRDefault="0095120B" w:rsidP="007B3D4F">
      <w:pPr>
        <w:pStyle w:val="MMultilevel"/>
        <w:numPr>
          <w:ilvl w:val="0"/>
          <w:numId w:val="0"/>
        </w:numPr>
        <w:rPr>
          <w:lang w:val="en-GB"/>
        </w:rPr>
      </w:pPr>
    </w:p>
    <w:p w14:paraId="58AF6DE6" w14:textId="2C942BD7" w:rsidR="00207200" w:rsidRPr="008E781C" w:rsidRDefault="00ED5D75" w:rsidP="002B399D">
      <w:pPr>
        <w:pStyle w:val="MMultilevel"/>
        <w:numPr>
          <w:ilvl w:val="0"/>
          <w:numId w:val="0"/>
        </w:numPr>
        <w:rPr>
          <w:lang w:val="en-GB"/>
        </w:rPr>
      </w:pPr>
      <w:r w:rsidRPr="008E781C">
        <w:rPr>
          <w:lang w:val="en-GB"/>
        </w:rPr>
        <w:t xml:space="preserve">Regarding the </w:t>
      </w:r>
      <w:r w:rsidRPr="008E781C">
        <w:rPr>
          <w:b/>
          <w:lang w:val="en-GB"/>
        </w:rPr>
        <w:t>required documentation</w:t>
      </w:r>
      <w:r w:rsidRPr="008E781C">
        <w:rPr>
          <w:lang w:val="en-GB"/>
        </w:rPr>
        <w:t xml:space="preserve">, investors must </w:t>
      </w:r>
      <w:r w:rsidR="003A4DD5" w:rsidRPr="008E781C">
        <w:rPr>
          <w:lang w:val="en-GB"/>
        </w:rPr>
        <w:t xml:space="preserve">hold a </w:t>
      </w:r>
      <w:r w:rsidR="003A4DD5" w:rsidRPr="008E781C">
        <w:rPr>
          <w:b/>
          <w:lang w:val="en-GB"/>
        </w:rPr>
        <w:t>valid passport</w:t>
      </w:r>
      <w:r w:rsidR="003A4DD5" w:rsidRPr="008E781C">
        <w:rPr>
          <w:lang w:val="en-GB"/>
        </w:rPr>
        <w:t xml:space="preserve"> or travel document </w:t>
      </w:r>
      <w:r w:rsidR="007E3EBE" w:rsidRPr="008E781C">
        <w:rPr>
          <w:lang w:val="en-GB"/>
        </w:rPr>
        <w:t>certifying their</w:t>
      </w:r>
      <w:r w:rsidR="003A4DD5" w:rsidRPr="008E781C">
        <w:rPr>
          <w:lang w:val="en-GB"/>
        </w:rPr>
        <w:t xml:space="preserve"> identity</w:t>
      </w:r>
      <w:r w:rsidR="00942CA0" w:rsidRPr="008E781C">
        <w:rPr>
          <w:lang w:val="en-GB"/>
        </w:rPr>
        <w:t xml:space="preserve"> and they must submit </w:t>
      </w:r>
      <w:r w:rsidR="007E3EBE" w:rsidRPr="008E781C">
        <w:rPr>
          <w:lang w:val="en-GB"/>
        </w:rPr>
        <w:t>proof of</w:t>
      </w:r>
      <w:r w:rsidR="003A4DD5" w:rsidRPr="008E781C">
        <w:rPr>
          <w:lang w:val="en-GB"/>
        </w:rPr>
        <w:t xml:space="preserve"> </w:t>
      </w:r>
      <w:r w:rsidR="003A4DD5" w:rsidRPr="008E781C">
        <w:rPr>
          <w:b/>
          <w:lang w:val="en-GB"/>
        </w:rPr>
        <w:t xml:space="preserve">sufficient </w:t>
      </w:r>
      <w:r w:rsidR="00E43F4A" w:rsidRPr="008E781C">
        <w:rPr>
          <w:b/>
          <w:lang w:val="en-GB"/>
        </w:rPr>
        <w:t>mean</w:t>
      </w:r>
      <w:r w:rsidR="003A4DD5" w:rsidRPr="008E781C">
        <w:rPr>
          <w:b/>
          <w:lang w:val="en-GB"/>
        </w:rPr>
        <w:t xml:space="preserve">s </w:t>
      </w:r>
      <w:r w:rsidR="00E43F4A" w:rsidRPr="008E781C">
        <w:rPr>
          <w:b/>
          <w:lang w:val="en-GB"/>
        </w:rPr>
        <w:t>of subsistence</w:t>
      </w:r>
      <w:r w:rsidR="003A4DD5" w:rsidRPr="008E781C">
        <w:rPr>
          <w:lang w:val="en-GB"/>
        </w:rPr>
        <w:t xml:space="preserve"> for the period of intended stay and the </w:t>
      </w:r>
      <w:r w:rsidR="003A4DD5" w:rsidRPr="008E781C">
        <w:rPr>
          <w:b/>
          <w:lang w:val="en-GB"/>
        </w:rPr>
        <w:t>documentation</w:t>
      </w:r>
      <w:r w:rsidR="003A4DD5" w:rsidRPr="008E781C">
        <w:rPr>
          <w:lang w:val="en-GB"/>
        </w:rPr>
        <w:t xml:space="preserve"> prescribed by regulation.</w:t>
      </w:r>
      <w:r w:rsidR="003A4DD5" w:rsidRPr="008E781C">
        <w:rPr>
          <w:rStyle w:val="FootnoteReference"/>
          <w:lang w:val="en-GB"/>
        </w:rPr>
        <w:footnoteReference w:id="34"/>
      </w:r>
      <w:r w:rsidR="003A4DD5" w:rsidRPr="008E781C">
        <w:rPr>
          <w:lang w:val="en-GB"/>
        </w:rPr>
        <w:t xml:space="preserve"> </w:t>
      </w:r>
      <w:r w:rsidRPr="008E781C">
        <w:rPr>
          <w:lang w:val="en-GB"/>
        </w:rPr>
        <w:t>The latter refers to documents justifying</w:t>
      </w:r>
      <w:r w:rsidR="00207200" w:rsidRPr="008E781C">
        <w:rPr>
          <w:lang w:val="en-GB"/>
        </w:rPr>
        <w:t>:</w:t>
      </w:r>
    </w:p>
    <w:p w14:paraId="2463F295" w14:textId="77777777" w:rsidR="00207200" w:rsidRPr="008E781C" w:rsidRDefault="00ED5D75" w:rsidP="0096455D">
      <w:pPr>
        <w:pStyle w:val="MMultilevel"/>
        <w:rPr>
          <w:lang w:val="en-GB"/>
        </w:rPr>
      </w:pPr>
      <w:r w:rsidRPr="008E781C">
        <w:rPr>
          <w:lang w:val="en-GB"/>
        </w:rPr>
        <w:t>the declared purpose and conditions of entry and stay,</w:t>
      </w:r>
      <w:r w:rsidRPr="008E781C">
        <w:rPr>
          <w:rStyle w:val="FootnoteReference"/>
          <w:lang w:val="en-GB"/>
        </w:rPr>
        <w:footnoteReference w:id="35"/>
      </w:r>
      <w:r w:rsidRPr="008E781C">
        <w:rPr>
          <w:lang w:val="en-GB"/>
        </w:rPr>
        <w:t xml:space="preserve"> </w:t>
      </w:r>
    </w:p>
    <w:p w14:paraId="23985952" w14:textId="4B629A04" w:rsidR="00207200" w:rsidRPr="008E781C" w:rsidRDefault="00207200" w:rsidP="0096455D">
      <w:pPr>
        <w:pStyle w:val="MMultilevel"/>
        <w:rPr>
          <w:lang w:val="en-GB"/>
        </w:rPr>
      </w:pPr>
      <w:r w:rsidRPr="008E781C">
        <w:rPr>
          <w:lang w:val="en-GB"/>
        </w:rPr>
        <w:t>that the foreigner does not suffer</w:t>
      </w:r>
      <w:r w:rsidR="007E3EBE" w:rsidRPr="008E781C">
        <w:rPr>
          <w:lang w:val="en-GB"/>
        </w:rPr>
        <w:t xml:space="preserve"> from</w:t>
      </w:r>
      <w:r w:rsidRPr="008E781C">
        <w:rPr>
          <w:lang w:val="en-GB"/>
        </w:rPr>
        <w:t xml:space="preserve"> a disease that may have serious effects </w:t>
      </w:r>
      <w:r w:rsidR="007E3EBE" w:rsidRPr="008E781C">
        <w:rPr>
          <w:lang w:val="en-GB"/>
        </w:rPr>
        <w:t>on</w:t>
      </w:r>
      <w:r w:rsidRPr="008E781C">
        <w:rPr>
          <w:lang w:val="en-GB"/>
        </w:rPr>
        <w:t xml:space="preserve"> public health </w:t>
      </w:r>
      <w:r w:rsidRPr="008E781C">
        <w:rPr>
          <w:lang w:val="en-GB"/>
        </w:rPr>
        <w:lastRenderedPageBreak/>
        <w:t>according to EU and international health regulations,</w:t>
      </w:r>
      <w:r w:rsidRPr="008E781C">
        <w:rPr>
          <w:rStyle w:val="FootnoteReference"/>
          <w:lang w:val="en-GB"/>
        </w:rPr>
        <w:footnoteReference w:id="36"/>
      </w:r>
    </w:p>
    <w:p w14:paraId="1EB7DADD" w14:textId="491056CF" w:rsidR="002B399D" w:rsidRPr="008E781C" w:rsidRDefault="00ED5D75" w:rsidP="0096455D">
      <w:pPr>
        <w:pStyle w:val="MMultilevel"/>
        <w:rPr>
          <w:lang w:val="en-GB"/>
        </w:rPr>
      </w:pPr>
      <w:r w:rsidRPr="008E781C">
        <w:rPr>
          <w:lang w:val="en-GB"/>
        </w:rPr>
        <w:t>that the foreigner is not barred from entering the Spanish territory</w:t>
      </w:r>
      <w:r w:rsidR="00207200" w:rsidRPr="008E781C">
        <w:rPr>
          <w:lang w:val="en-GB"/>
        </w:rPr>
        <w:t>,</w:t>
      </w:r>
      <w:r w:rsidR="00207200" w:rsidRPr="008E781C">
        <w:rPr>
          <w:rStyle w:val="FootnoteReference"/>
          <w:lang w:val="en-GB"/>
        </w:rPr>
        <w:footnoteReference w:id="37"/>
      </w:r>
    </w:p>
    <w:p w14:paraId="25844ACB" w14:textId="20C35408" w:rsidR="00207200" w:rsidRPr="008E781C" w:rsidRDefault="00207200" w:rsidP="0096455D">
      <w:pPr>
        <w:pStyle w:val="MMultilevel"/>
        <w:rPr>
          <w:lang w:val="en-GB"/>
        </w:rPr>
      </w:pPr>
      <w:bookmarkStart w:id="11" w:name="_Hlk517004750"/>
      <w:r w:rsidRPr="008E781C">
        <w:rPr>
          <w:lang w:val="en-GB"/>
        </w:rPr>
        <w:t xml:space="preserve">that the foreigner does not represent a threat to public health, national security or the international relations of Spain or of other States with which Spain has an agreement </w:t>
      </w:r>
      <w:r w:rsidR="007E3EBE" w:rsidRPr="008E781C">
        <w:rPr>
          <w:lang w:val="en-GB"/>
        </w:rPr>
        <w:t xml:space="preserve">in </w:t>
      </w:r>
      <w:r w:rsidRPr="008E781C">
        <w:rPr>
          <w:lang w:val="en-GB"/>
        </w:rPr>
        <w:t>that regard.</w:t>
      </w:r>
      <w:r w:rsidRPr="008E781C">
        <w:rPr>
          <w:rStyle w:val="FootnoteReference"/>
          <w:lang w:val="en-GB"/>
        </w:rPr>
        <w:footnoteReference w:id="38"/>
      </w:r>
    </w:p>
    <w:bookmarkEnd w:id="11"/>
    <w:p w14:paraId="2764DD2D" w14:textId="6385DDD0" w:rsidR="003A4DD5" w:rsidRPr="008E781C" w:rsidRDefault="003A4DD5" w:rsidP="002B399D">
      <w:pPr>
        <w:pStyle w:val="MMultilevel"/>
        <w:numPr>
          <w:ilvl w:val="0"/>
          <w:numId w:val="0"/>
        </w:numPr>
        <w:rPr>
          <w:lang w:val="en-GB"/>
        </w:rPr>
      </w:pPr>
    </w:p>
    <w:p w14:paraId="219B65EE" w14:textId="0A8BFF50" w:rsidR="003A4DD5" w:rsidRPr="008E781C" w:rsidRDefault="003A4DD5" w:rsidP="002B399D">
      <w:pPr>
        <w:pStyle w:val="MMultilevel"/>
        <w:numPr>
          <w:ilvl w:val="0"/>
          <w:numId w:val="0"/>
        </w:numPr>
        <w:rPr>
          <w:lang w:val="en-GB"/>
        </w:rPr>
      </w:pPr>
      <w:r w:rsidRPr="008E781C">
        <w:rPr>
          <w:lang w:val="en-GB"/>
        </w:rPr>
        <w:t xml:space="preserve">In addition, investors must </w:t>
      </w:r>
      <w:r w:rsidRPr="008E781C">
        <w:rPr>
          <w:b/>
          <w:lang w:val="en-GB"/>
        </w:rPr>
        <w:t xml:space="preserve">hold </w:t>
      </w:r>
      <w:r w:rsidR="00E43F4A" w:rsidRPr="008E781C">
        <w:rPr>
          <w:lang w:val="en-GB"/>
        </w:rPr>
        <w:t xml:space="preserve">either an </w:t>
      </w:r>
      <w:r w:rsidR="00E43F4A" w:rsidRPr="008E781C">
        <w:rPr>
          <w:b/>
          <w:lang w:val="en-GB"/>
        </w:rPr>
        <w:t>investors’ residence visa</w:t>
      </w:r>
      <w:r w:rsidR="00E43F4A" w:rsidRPr="008E781C">
        <w:rPr>
          <w:lang w:val="en-GB"/>
        </w:rPr>
        <w:t xml:space="preserve"> (</w:t>
      </w:r>
      <w:r w:rsidR="00E43F4A" w:rsidRPr="008E781C">
        <w:rPr>
          <w:i/>
          <w:lang w:val="en-GB"/>
        </w:rPr>
        <w:t>visado de residencia para inversores</w:t>
      </w:r>
      <w:r w:rsidR="00E43F4A" w:rsidRPr="008E781C">
        <w:rPr>
          <w:lang w:val="en-GB"/>
        </w:rPr>
        <w:t xml:space="preserve">) or a </w:t>
      </w:r>
      <w:r w:rsidR="00E43F4A" w:rsidRPr="008E781C">
        <w:rPr>
          <w:b/>
          <w:lang w:val="en-GB"/>
        </w:rPr>
        <w:t>stay visa</w:t>
      </w:r>
      <w:r w:rsidR="00E43F4A" w:rsidRPr="008E781C">
        <w:rPr>
          <w:lang w:val="en-GB"/>
        </w:rPr>
        <w:t xml:space="preserve"> (</w:t>
      </w:r>
      <w:r w:rsidR="00E43F4A" w:rsidRPr="008E781C">
        <w:rPr>
          <w:i/>
          <w:lang w:val="en-GB"/>
        </w:rPr>
        <w:t>visado de estancia</w:t>
      </w:r>
      <w:r w:rsidR="00E43F4A" w:rsidRPr="008E781C">
        <w:rPr>
          <w:lang w:val="en-GB"/>
        </w:rPr>
        <w:t>).</w:t>
      </w:r>
      <w:r w:rsidR="00E43F4A" w:rsidRPr="008E781C">
        <w:rPr>
          <w:rStyle w:val="FootnoteReference"/>
          <w:lang w:val="en-GB"/>
        </w:rPr>
        <w:footnoteReference w:id="39"/>
      </w:r>
      <w:r w:rsidR="005F203E" w:rsidRPr="008E781C">
        <w:rPr>
          <w:lang w:val="en-GB"/>
        </w:rPr>
        <w:t xml:space="preserve"> </w:t>
      </w:r>
      <w:r w:rsidR="007B3D4F" w:rsidRPr="008E781C">
        <w:rPr>
          <w:lang w:val="en-GB"/>
        </w:rPr>
        <w:t>Only t</w:t>
      </w:r>
      <w:r w:rsidR="00A1181E" w:rsidRPr="008E781C">
        <w:rPr>
          <w:lang w:val="en-GB"/>
        </w:rPr>
        <w:t>he procedure</w:t>
      </w:r>
      <w:r w:rsidR="007B3D4F" w:rsidRPr="008E781C">
        <w:rPr>
          <w:lang w:val="en-GB"/>
        </w:rPr>
        <w:t xml:space="preserve"> and requirements </w:t>
      </w:r>
      <w:r w:rsidR="00A1181E" w:rsidRPr="008E781C">
        <w:rPr>
          <w:lang w:val="en-GB"/>
        </w:rPr>
        <w:t xml:space="preserve">to apply </w:t>
      </w:r>
      <w:r w:rsidR="00FB017F" w:rsidRPr="008E781C">
        <w:rPr>
          <w:lang w:val="en-GB"/>
        </w:rPr>
        <w:t>for the investors’ residence visa</w:t>
      </w:r>
      <w:r w:rsidR="007B3D4F" w:rsidRPr="008E781C">
        <w:rPr>
          <w:lang w:val="en-GB"/>
        </w:rPr>
        <w:t xml:space="preserve"> are explained below</w:t>
      </w:r>
      <w:r w:rsidR="00FB017F" w:rsidRPr="008E781C">
        <w:rPr>
          <w:lang w:val="en-GB"/>
        </w:rPr>
        <w:t xml:space="preserve"> as the stay visa falls outside the scope of this Report.</w:t>
      </w:r>
    </w:p>
    <w:p w14:paraId="3BDFEEC7" w14:textId="0B8F3FEC" w:rsidR="00DB131B" w:rsidRPr="008E781C" w:rsidRDefault="00DB131B" w:rsidP="002B399D">
      <w:pPr>
        <w:pStyle w:val="MMultilevel"/>
        <w:numPr>
          <w:ilvl w:val="0"/>
          <w:numId w:val="0"/>
        </w:numPr>
        <w:rPr>
          <w:lang w:val="en-GB"/>
        </w:rPr>
      </w:pPr>
    </w:p>
    <w:p w14:paraId="2A4094BB" w14:textId="3E9E6990" w:rsidR="00A1181E" w:rsidRPr="008E781C" w:rsidRDefault="00A1181E" w:rsidP="00BD2FFE">
      <w:pPr>
        <w:pStyle w:val="MMultilevel"/>
        <w:numPr>
          <w:ilvl w:val="0"/>
          <w:numId w:val="0"/>
        </w:numPr>
        <w:ind w:left="425" w:hanging="425"/>
        <w:rPr>
          <w:lang w:val="en-GB"/>
        </w:rPr>
      </w:pPr>
      <w:r w:rsidRPr="008E781C">
        <w:rPr>
          <w:b/>
          <w:i/>
          <w:lang w:val="en-GB"/>
        </w:rPr>
        <w:t xml:space="preserve">Procedure </w:t>
      </w:r>
      <w:r w:rsidR="00FB017F" w:rsidRPr="008E781C">
        <w:rPr>
          <w:b/>
          <w:i/>
          <w:lang w:val="en-GB"/>
        </w:rPr>
        <w:t>for investors’ residence visas</w:t>
      </w:r>
    </w:p>
    <w:p w14:paraId="7BB23355" w14:textId="7F67FDD2" w:rsidR="00C20521" w:rsidRPr="008E781C" w:rsidRDefault="00C1767B" w:rsidP="00A612C7">
      <w:pPr>
        <w:pStyle w:val="MMultilevel"/>
        <w:numPr>
          <w:ilvl w:val="0"/>
          <w:numId w:val="0"/>
        </w:numPr>
        <w:rPr>
          <w:lang w:val="en-GB"/>
        </w:rPr>
      </w:pPr>
      <w:r w:rsidRPr="008E781C">
        <w:rPr>
          <w:lang w:val="en-GB"/>
        </w:rPr>
        <w:t xml:space="preserve">Article 75(1) and (4) of </w:t>
      </w:r>
      <w:r w:rsidR="00C20521" w:rsidRPr="008E781C">
        <w:rPr>
          <w:lang w:val="en-GB"/>
        </w:rPr>
        <w:t xml:space="preserve">Law 14/2013 </w:t>
      </w:r>
      <w:r w:rsidRPr="008E781C">
        <w:rPr>
          <w:lang w:val="en-GB"/>
        </w:rPr>
        <w:t>provide</w:t>
      </w:r>
      <w:r w:rsidR="007E3EBE" w:rsidRPr="008E781C">
        <w:rPr>
          <w:lang w:val="en-GB"/>
        </w:rPr>
        <w:t xml:space="preserve"> </w:t>
      </w:r>
      <w:r w:rsidR="00C20521" w:rsidRPr="008E781C">
        <w:rPr>
          <w:lang w:val="en-GB"/>
        </w:rPr>
        <w:t xml:space="preserve">that the </w:t>
      </w:r>
      <w:r w:rsidR="00C20521" w:rsidRPr="008E781C">
        <w:rPr>
          <w:b/>
          <w:lang w:val="en-GB"/>
        </w:rPr>
        <w:t>application procedure and issuance</w:t>
      </w:r>
      <w:r w:rsidR="00C20521" w:rsidRPr="008E781C">
        <w:rPr>
          <w:lang w:val="en-GB"/>
        </w:rPr>
        <w:t xml:space="preserve"> of stay and residence visas regulated in </w:t>
      </w:r>
      <w:r w:rsidR="0052715A" w:rsidRPr="008E781C">
        <w:rPr>
          <w:lang w:val="en-GB"/>
        </w:rPr>
        <w:t>Section II</w:t>
      </w:r>
      <w:r w:rsidR="00C20521" w:rsidRPr="008E781C">
        <w:rPr>
          <w:lang w:val="en-GB"/>
        </w:rPr>
        <w:t xml:space="preserve"> of Title V (including investors’ residence visas) is regulated by </w:t>
      </w:r>
      <w:r w:rsidR="00C20521" w:rsidRPr="008E781C">
        <w:rPr>
          <w:b/>
          <w:lang w:val="en-GB"/>
        </w:rPr>
        <w:t>Regulation (EC) No 810/2009</w:t>
      </w:r>
      <w:r w:rsidR="00C20521" w:rsidRPr="008E781C">
        <w:rPr>
          <w:rStyle w:val="FootnoteReference"/>
          <w:lang w:val="en-GB"/>
        </w:rPr>
        <w:footnoteReference w:id="40"/>
      </w:r>
      <w:r w:rsidR="00C20521" w:rsidRPr="008E781C">
        <w:rPr>
          <w:lang w:val="en-GB"/>
        </w:rPr>
        <w:t xml:space="preserve"> and </w:t>
      </w:r>
      <w:r w:rsidR="00C20521" w:rsidRPr="008E781C">
        <w:rPr>
          <w:b/>
          <w:lang w:val="en-GB"/>
        </w:rPr>
        <w:t>Regulation (EU) 265/2010</w:t>
      </w:r>
      <w:r w:rsidR="00C20521" w:rsidRPr="008E781C">
        <w:rPr>
          <w:lang w:val="en-GB"/>
        </w:rPr>
        <w:t>.</w:t>
      </w:r>
      <w:r w:rsidR="00C20521" w:rsidRPr="008E781C">
        <w:rPr>
          <w:rStyle w:val="FootnoteReference"/>
          <w:lang w:val="en-GB"/>
        </w:rPr>
        <w:footnoteReference w:id="41"/>
      </w:r>
      <w:r w:rsidR="00C20521" w:rsidRPr="008E781C">
        <w:rPr>
          <w:lang w:val="en-GB"/>
        </w:rPr>
        <w:t xml:space="preserve"> </w:t>
      </w:r>
    </w:p>
    <w:p w14:paraId="0A1A5F4E" w14:textId="1E967B13" w:rsidR="0095120B" w:rsidRPr="008E781C" w:rsidRDefault="0095120B" w:rsidP="00A612C7">
      <w:pPr>
        <w:pStyle w:val="MMultilevel"/>
        <w:numPr>
          <w:ilvl w:val="0"/>
          <w:numId w:val="0"/>
        </w:numPr>
        <w:rPr>
          <w:lang w:val="en-GB"/>
        </w:rPr>
      </w:pPr>
    </w:p>
    <w:p w14:paraId="25F1BE1A" w14:textId="62DB5644" w:rsidR="00C20521" w:rsidRPr="008E781C" w:rsidRDefault="0095120B" w:rsidP="00C20521">
      <w:pPr>
        <w:pStyle w:val="MMultilevel"/>
        <w:numPr>
          <w:ilvl w:val="0"/>
          <w:numId w:val="0"/>
        </w:numPr>
        <w:rPr>
          <w:lang w:val="en-GB"/>
        </w:rPr>
      </w:pPr>
      <w:r w:rsidRPr="008E781C">
        <w:rPr>
          <w:b/>
          <w:lang w:val="en-GB"/>
        </w:rPr>
        <w:t>To apply</w:t>
      </w:r>
      <w:r w:rsidRPr="008E781C">
        <w:rPr>
          <w:lang w:val="en-GB"/>
        </w:rPr>
        <w:t xml:space="preserve"> for the </w:t>
      </w:r>
      <w:r w:rsidR="00C20521" w:rsidRPr="008E781C">
        <w:rPr>
          <w:lang w:val="en-GB"/>
        </w:rPr>
        <w:t>investors’ residence</w:t>
      </w:r>
      <w:r w:rsidRPr="008E781C">
        <w:rPr>
          <w:lang w:val="en-GB"/>
        </w:rPr>
        <w:t xml:space="preserve"> visa</w:t>
      </w:r>
      <w:r w:rsidR="00723C08" w:rsidRPr="008E781C">
        <w:rPr>
          <w:lang w:val="en-GB"/>
        </w:rPr>
        <w:t>,</w:t>
      </w:r>
      <w:r w:rsidRPr="008E781C">
        <w:rPr>
          <w:lang w:val="en-GB"/>
        </w:rPr>
        <w:t xml:space="preserve"> </w:t>
      </w:r>
      <w:r w:rsidR="009D14EC" w:rsidRPr="008E781C">
        <w:rPr>
          <w:lang w:val="en-GB"/>
        </w:rPr>
        <w:t>applicant</w:t>
      </w:r>
      <w:r w:rsidR="00C1767B" w:rsidRPr="008E781C">
        <w:rPr>
          <w:lang w:val="en-GB"/>
        </w:rPr>
        <w:t>s</w:t>
      </w:r>
      <w:r w:rsidR="00C20521" w:rsidRPr="008E781C">
        <w:rPr>
          <w:lang w:val="en-GB"/>
        </w:rPr>
        <w:t xml:space="preserve"> must demonstrate </w:t>
      </w:r>
      <w:r w:rsidR="00C1767B" w:rsidRPr="008E781C">
        <w:rPr>
          <w:lang w:val="en-GB"/>
        </w:rPr>
        <w:t>that they made a</w:t>
      </w:r>
      <w:r w:rsidR="00C20521" w:rsidRPr="008E781C">
        <w:rPr>
          <w:lang w:val="en-GB"/>
        </w:rPr>
        <w:t xml:space="preserve"> ‘</w:t>
      </w:r>
      <w:r w:rsidR="00C20521" w:rsidRPr="008E781C">
        <w:rPr>
          <w:b/>
          <w:lang w:val="en-GB"/>
        </w:rPr>
        <w:t>significant capital investment</w:t>
      </w:r>
      <w:r w:rsidR="00C20521" w:rsidRPr="008E781C">
        <w:rPr>
          <w:lang w:val="en-GB"/>
        </w:rPr>
        <w:t xml:space="preserve">’. Spanish legislation provides </w:t>
      </w:r>
      <w:r w:rsidR="00C1767B" w:rsidRPr="008E781C">
        <w:rPr>
          <w:lang w:val="en-GB"/>
        </w:rPr>
        <w:t xml:space="preserve">what </w:t>
      </w:r>
      <w:r w:rsidR="00C20521" w:rsidRPr="008E781C">
        <w:rPr>
          <w:lang w:val="en-GB"/>
        </w:rPr>
        <w:t xml:space="preserve">nature and amount of investment </w:t>
      </w:r>
      <w:r w:rsidR="00C1767B" w:rsidRPr="008E781C">
        <w:rPr>
          <w:lang w:val="en-GB"/>
        </w:rPr>
        <w:t>qualifies as</w:t>
      </w:r>
      <w:r w:rsidR="00C20521" w:rsidRPr="008E781C">
        <w:rPr>
          <w:lang w:val="en-GB"/>
        </w:rPr>
        <w:t xml:space="preserve"> ‘significant’. The foreign investor must</w:t>
      </w:r>
      <w:r w:rsidR="00C1767B" w:rsidRPr="008E781C">
        <w:rPr>
          <w:lang w:val="en-GB"/>
        </w:rPr>
        <w:t xml:space="preserve"> </w:t>
      </w:r>
      <w:r w:rsidR="00C20521" w:rsidRPr="008E781C">
        <w:rPr>
          <w:lang w:val="en-GB"/>
        </w:rPr>
        <w:t>carry out one of the following investments</w:t>
      </w:r>
      <w:r w:rsidR="00C20521" w:rsidRPr="008E781C">
        <w:rPr>
          <w:vertAlign w:val="superscript"/>
          <w:lang w:val="en-GB"/>
        </w:rPr>
        <w:footnoteReference w:id="42"/>
      </w:r>
      <w:r w:rsidR="00C20521" w:rsidRPr="008E781C">
        <w:rPr>
          <w:lang w:val="en-GB"/>
        </w:rPr>
        <w:t>:</w:t>
      </w:r>
    </w:p>
    <w:p w14:paraId="4616B34D" w14:textId="77777777" w:rsidR="00C20521" w:rsidRPr="008E781C" w:rsidRDefault="00C20521" w:rsidP="00C20521">
      <w:pPr>
        <w:pStyle w:val="MMultilevel"/>
        <w:numPr>
          <w:ilvl w:val="0"/>
          <w:numId w:val="0"/>
        </w:numPr>
        <w:rPr>
          <w:lang w:val="en-GB"/>
        </w:rPr>
      </w:pPr>
    </w:p>
    <w:p w14:paraId="6FE9723A" w14:textId="77777777" w:rsidR="00C20521" w:rsidRPr="008E781C" w:rsidRDefault="00C20521" w:rsidP="00C20521">
      <w:pPr>
        <w:pStyle w:val="MMultilevel"/>
        <w:numPr>
          <w:ilvl w:val="0"/>
          <w:numId w:val="17"/>
        </w:numPr>
        <w:rPr>
          <w:lang w:val="en-GB"/>
        </w:rPr>
      </w:pPr>
      <w:r w:rsidRPr="008E781C">
        <w:rPr>
          <w:lang w:val="en-GB"/>
        </w:rPr>
        <w:t xml:space="preserve">An initial investment of, </w:t>
      </w:r>
      <w:r w:rsidRPr="008E781C">
        <w:rPr>
          <w:b/>
          <w:lang w:val="en-GB"/>
        </w:rPr>
        <w:t>at least</w:t>
      </w:r>
      <w:r w:rsidRPr="008E781C">
        <w:rPr>
          <w:lang w:val="en-GB"/>
        </w:rPr>
        <w:t>:</w:t>
      </w:r>
    </w:p>
    <w:p w14:paraId="69D0126E" w14:textId="13895FA0" w:rsidR="00C20521" w:rsidRPr="008E781C" w:rsidRDefault="00C20521" w:rsidP="00C20521">
      <w:pPr>
        <w:pStyle w:val="MMultilevel"/>
        <w:numPr>
          <w:ilvl w:val="1"/>
          <w:numId w:val="17"/>
        </w:numPr>
        <w:rPr>
          <w:lang w:val="en-GB"/>
        </w:rPr>
      </w:pPr>
      <w:r w:rsidRPr="008E781C">
        <w:rPr>
          <w:b/>
          <w:lang w:val="en-GB"/>
        </w:rPr>
        <w:t>EUR 2 million</w:t>
      </w:r>
      <w:r w:rsidRPr="008E781C">
        <w:rPr>
          <w:lang w:val="en-GB"/>
        </w:rPr>
        <w:t xml:space="preserve"> in </w:t>
      </w:r>
      <w:r w:rsidRPr="008E781C">
        <w:rPr>
          <w:b/>
          <w:lang w:val="en-GB"/>
        </w:rPr>
        <w:t>Spanish public debt securities</w:t>
      </w:r>
      <w:r w:rsidRPr="008E781C">
        <w:rPr>
          <w:lang w:val="en-GB"/>
        </w:rPr>
        <w:t xml:space="preserve">, or </w:t>
      </w:r>
    </w:p>
    <w:p w14:paraId="6E5FED6F" w14:textId="77777777" w:rsidR="00C20521" w:rsidRPr="008E781C" w:rsidRDefault="00C20521" w:rsidP="00C20521">
      <w:pPr>
        <w:pStyle w:val="MMultilevel"/>
        <w:numPr>
          <w:ilvl w:val="1"/>
          <w:numId w:val="17"/>
        </w:numPr>
        <w:rPr>
          <w:lang w:val="en-GB"/>
        </w:rPr>
      </w:pPr>
      <w:r w:rsidRPr="008E781C">
        <w:rPr>
          <w:b/>
          <w:lang w:val="en-GB"/>
        </w:rPr>
        <w:t>EUR 1 million</w:t>
      </w:r>
      <w:r w:rsidRPr="008E781C">
        <w:rPr>
          <w:lang w:val="en-GB"/>
        </w:rPr>
        <w:t xml:space="preserve"> in </w:t>
      </w:r>
      <w:r w:rsidRPr="008E781C">
        <w:rPr>
          <w:b/>
          <w:lang w:val="en-GB"/>
        </w:rPr>
        <w:t>shares of Spanish companies</w:t>
      </w:r>
      <w:r w:rsidRPr="008E781C">
        <w:rPr>
          <w:lang w:val="en-GB"/>
        </w:rPr>
        <w:t xml:space="preserve">, or </w:t>
      </w:r>
    </w:p>
    <w:p w14:paraId="7124B59B" w14:textId="77777777" w:rsidR="00C20521" w:rsidRPr="008E781C" w:rsidRDefault="00C20521" w:rsidP="00C20521">
      <w:pPr>
        <w:pStyle w:val="MMultilevel"/>
        <w:numPr>
          <w:ilvl w:val="1"/>
          <w:numId w:val="17"/>
        </w:numPr>
        <w:rPr>
          <w:lang w:val="en-GB"/>
        </w:rPr>
      </w:pPr>
      <w:r w:rsidRPr="008E781C">
        <w:rPr>
          <w:b/>
          <w:lang w:val="en-GB"/>
        </w:rPr>
        <w:t>EUR 1 million</w:t>
      </w:r>
      <w:r w:rsidRPr="008E781C">
        <w:rPr>
          <w:lang w:val="en-GB"/>
        </w:rPr>
        <w:t xml:space="preserve"> in </w:t>
      </w:r>
      <w:r w:rsidRPr="008E781C">
        <w:rPr>
          <w:b/>
          <w:lang w:val="en-GB"/>
        </w:rPr>
        <w:t>investment funds</w:t>
      </w:r>
      <w:r w:rsidRPr="008E781C">
        <w:rPr>
          <w:lang w:val="en-GB"/>
        </w:rPr>
        <w:t xml:space="preserve">, closed-end investment funds or venture capital funds </w:t>
      </w:r>
      <w:r w:rsidRPr="008E781C">
        <w:rPr>
          <w:b/>
          <w:lang w:val="en-GB"/>
        </w:rPr>
        <w:t>set up in Spain</w:t>
      </w:r>
      <w:r w:rsidRPr="008E781C">
        <w:rPr>
          <w:lang w:val="en-GB"/>
        </w:rPr>
        <w:t xml:space="preserve"> included within the scope of Law 35/2003</w:t>
      </w:r>
      <w:r w:rsidRPr="008E781C">
        <w:rPr>
          <w:rStyle w:val="FootnoteReference"/>
          <w:lang w:val="en-GB"/>
        </w:rPr>
        <w:footnoteReference w:id="43"/>
      </w:r>
      <w:r w:rsidRPr="008E781C">
        <w:rPr>
          <w:lang w:val="en-GB"/>
        </w:rPr>
        <w:t xml:space="preserve"> or Law 22/2014</w:t>
      </w:r>
      <w:r w:rsidRPr="008E781C">
        <w:rPr>
          <w:rStyle w:val="FootnoteReference"/>
          <w:lang w:val="en-GB"/>
        </w:rPr>
        <w:footnoteReference w:id="44"/>
      </w:r>
      <w:r w:rsidRPr="008E781C">
        <w:rPr>
          <w:lang w:val="en-GB"/>
        </w:rPr>
        <w:t xml:space="preserve"> (new category introduced by the amendment of 2015), or</w:t>
      </w:r>
    </w:p>
    <w:p w14:paraId="2857E5EF" w14:textId="03F1968C" w:rsidR="00C20521" w:rsidRPr="008E781C" w:rsidRDefault="00C20521" w:rsidP="00C20521">
      <w:pPr>
        <w:pStyle w:val="MMultilevel"/>
        <w:numPr>
          <w:ilvl w:val="1"/>
          <w:numId w:val="17"/>
        </w:numPr>
        <w:rPr>
          <w:lang w:val="en-GB"/>
        </w:rPr>
      </w:pPr>
      <w:r w:rsidRPr="008E781C">
        <w:rPr>
          <w:b/>
          <w:lang w:val="en-GB"/>
        </w:rPr>
        <w:t>EUR</w:t>
      </w:r>
      <w:r w:rsidR="00C1767B" w:rsidRPr="008E781C">
        <w:rPr>
          <w:b/>
          <w:lang w:val="en-GB"/>
        </w:rPr>
        <w:t xml:space="preserve"> </w:t>
      </w:r>
      <w:r w:rsidRPr="008E781C">
        <w:rPr>
          <w:b/>
          <w:lang w:val="en-GB"/>
        </w:rPr>
        <w:t>1 million</w:t>
      </w:r>
      <w:r w:rsidRPr="008E781C">
        <w:rPr>
          <w:lang w:val="en-GB"/>
        </w:rPr>
        <w:t xml:space="preserve"> in </w:t>
      </w:r>
      <w:r w:rsidRPr="008E781C">
        <w:rPr>
          <w:b/>
          <w:lang w:val="en-GB"/>
        </w:rPr>
        <w:t>bank deposits</w:t>
      </w:r>
      <w:r w:rsidRPr="008E781C">
        <w:rPr>
          <w:lang w:val="en-GB"/>
        </w:rPr>
        <w:t xml:space="preserve"> in </w:t>
      </w:r>
      <w:r w:rsidRPr="008E781C">
        <w:rPr>
          <w:b/>
          <w:lang w:val="en-GB"/>
        </w:rPr>
        <w:t>Spanish financial institutions</w:t>
      </w:r>
      <w:r w:rsidRPr="008E781C">
        <w:rPr>
          <w:lang w:val="en-GB"/>
        </w:rPr>
        <w:t xml:space="preserve">. </w:t>
      </w:r>
    </w:p>
    <w:p w14:paraId="449DF92D" w14:textId="7A42CF64" w:rsidR="00942CA0" w:rsidRPr="008E781C" w:rsidRDefault="00C20521" w:rsidP="00942CA0">
      <w:pPr>
        <w:pStyle w:val="MMultilevel"/>
        <w:numPr>
          <w:ilvl w:val="0"/>
          <w:numId w:val="17"/>
        </w:numPr>
        <w:rPr>
          <w:lang w:val="en-GB"/>
        </w:rPr>
      </w:pPr>
      <w:r w:rsidRPr="008E781C">
        <w:rPr>
          <w:lang w:val="en-GB"/>
        </w:rPr>
        <w:t xml:space="preserve">The </w:t>
      </w:r>
      <w:r w:rsidRPr="008E781C">
        <w:rPr>
          <w:b/>
          <w:lang w:val="en-GB"/>
        </w:rPr>
        <w:t>acquisition of real estate</w:t>
      </w:r>
      <w:r w:rsidRPr="008E781C">
        <w:rPr>
          <w:lang w:val="en-GB"/>
        </w:rPr>
        <w:t xml:space="preserve"> in Spain </w:t>
      </w:r>
      <w:r w:rsidR="00942CA0" w:rsidRPr="008E781C">
        <w:rPr>
          <w:lang w:val="en-GB"/>
        </w:rPr>
        <w:t xml:space="preserve">valued </w:t>
      </w:r>
      <w:r w:rsidR="0066082D" w:rsidRPr="008E781C">
        <w:rPr>
          <w:lang w:val="en-GB"/>
        </w:rPr>
        <w:t>at a minimum of</w:t>
      </w:r>
      <w:r w:rsidRPr="008E781C">
        <w:rPr>
          <w:lang w:val="en-GB"/>
        </w:rPr>
        <w:t xml:space="preserve"> </w:t>
      </w:r>
      <w:r w:rsidRPr="008E781C">
        <w:rPr>
          <w:b/>
          <w:lang w:val="en-GB"/>
        </w:rPr>
        <w:t>EUR 500,000</w:t>
      </w:r>
      <w:r w:rsidRPr="008E781C">
        <w:rPr>
          <w:lang w:val="en-GB"/>
        </w:rPr>
        <w:t xml:space="preserve"> per applicant.</w:t>
      </w:r>
      <w:r w:rsidRPr="008E781C">
        <w:rPr>
          <w:rStyle w:val="FootnoteReference"/>
          <w:lang w:val="en-GB"/>
        </w:rPr>
        <w:footnoteReference w:id="45"/>
      </w:r>
    </w:p>
    <w:p w14:paraId="1D239399" w14:textId="36325970" w:rsidR="00C20521" w:rsidRPr="008E781C" w:rsidRDefault="00C20521" w:rsidP="00942CA0">
      <w:pPr>
        <w:pStyle w:val="MMultilevel"/>
        <w:numPr>
          <w:ilvl w:val="0"/>
          <w:numId w:val="17"/>
        </w:numPr>
        <w:rPr>
          <w:lang w:val="en-GB"/>
        </w:rPr>
      </w:pPr>
      <w:r w:rsidRPr="008E781C">
        <w:rPr>
          <w:lang w:val="en-GB"/>
        </w:rPr>
        <w:lastRenderedPageBreak/>
        <w:t xml:space="preserve">A </w:t>
      </w:r>
      <w:r w:rsidRPr="008E781C">
        <w:rPr>
          <w:b/>
          <w:lang w:val="en-GB"/>
        </w:rPr>
        <w:t>business project</w:t>
      </w:r>
      <w:r w:rsidRPr="008E781C">
        <w:rPr>
          <w:lang w:val="en-GB"/>
        </w:rPr>
        <w:t xml:space="preserve"> to be developed in Spain and that is considered and certified as being of </w:t>
      </w:r>
      <w:r w:rsidRPr="008E781C">
        <w:rPr>
          <w:b/>
          <w:lang w:val="en-GB"/>
        </w:rPr>
        <w:t>general interest</w:t>
      </w:r>
      <w:r w:rsidRPr="008E781C">
        <w:rPr>
          <w:lang w:val="en-GB"/>
        </w:rPr>
        <w:t xml:space="preserve">, for which </w:t>
      </w:r>
      <w:r w:rsidRPr="008E781C">
        <w:rPr>
          <w:b/>
          <w:lang w:val="en-GB"/>
        </w:rPr>
        <w:t>compliance with at least one</w:t>
      </w:r>
      <w:r w:rsidRPr="008E781C">
        <w:rPr>
          <w:lang w:val="en-GB"/>
        </w:rPr>
        <w:t xml:space="preserve"> of the following conditions will be assessed:</w:t>
      </w:r>
      <w:r w:rsidR="00C1767B" w:rsidRPr="008E781C">
        <w:rPr>
          <w:b/>
          <w:lang w:val="en-GB"/>
        </w:rPr>
        <w:t xml:space="preserve"> job c</w:t>
      </w:r>
      <w:r w:rsidRPr="008E781C">
        <w:rPr>
          <w:b/>
          <w:lang w:val="en-GB"/>
        </w:rPr>
        <w:t>reation</w:t>
      </w:r>
      <w:r w:rsidR="00C1767B" w:rsidRPr="008E781C">
        <w:rPr>
          <w:bCs w:val="0"/>
          <w:lang w:val="en-GB"/>
        </w:rPr>
        <w:t>,</w:t>
      </w:r>
      <w:r w:rsidR="007B3D4F" w:rsidRPr="008E781C">
        <w:rPr>
          <w:b/>
          <w:lang w:val="en-GB"/>
        </w:rPr>
        <w:t xml:space="preserve"> </w:t>
      </w:r>
      <w:r w:rsidRPr="008E781C">
        <w:rPr>
          <w:b/>
          <w:lang w:val="en-GB"/>
        </w:rPr>
        <w:t>relevant socioeconomic impact in the geographical area</w:t>
      </w:r>
      <w:r w:rsidRPr="008E781C">
        <w:rPr>
          <w:lang w:val="en-GB"/>
        </w:rPr>
        <w:t xml:space="preserve"> in which the activity will be developed</w:t>
      </w:r>
      <w:r w:rsidR="00C1767B" w:rsidRPr="008E781C">
        <w:rPr>
          <w:lang w:val="en-GB"/>
        </w:rPr>
        <w:t xml:space="preserve">, </w:t>
      </w:r>
      <w:r w:rsidRPr="008E781C">
        <w:rPr>
          <w:b/>
          <w:lang w:val="en-GB"/>
        </w:rPr>
        <w:t>relevant contribution to scientific and/or technological innovation</w:t>
      </w:r>
      <w:r w:rsidRPr="008E781C">
        <w:rPr>
          <w:lang w:val="en-GB"/>
        </w:rPr>
        <w:t>.</w:t>
      </w:r>
    </w:p>
    <w:p w14:paraId="78E21E88" w14:textId="77777777" w:rsidR="00C20521" w:rsidRPr="008E781C" w:rsidRDefault="00C20521" w:rsidP="00C20521">
      <w:pPr>
        <w:pStyle w:val="MMultilevel"/>
        <w:numPr>
          <w:ilvl w:val="0"/>
          <w:numId w:val="0"/>
        </w:numPr>
        <w:ind w:left="709"/>
        <w:rPr>
          <w:lang w:val="en-GB"/>
        </w:rPr>
      </w:pPr>
    </w:p>
    <w:p w14:paraId="15BA5254" w14:textId="7175925C" w:rsidR="00C20521" w:rsidRPr="008E781C" w:rsidRDefault="00C20521" w:rsidP="00C20521">
      <w:pPr>
        <w:pStyle w:val="MMultilevel"/>
        <w:numPr>
          <w:ilvl w:val="0"/>
          <w:numId w:val="0"/>
        </w:numPr>
        <w:ind w:left="425" w:hanging="425"/>
        <w:rPr>
          <w:lang w:val="en-GB"/>
        </w:rPr>
      </w:pPr>
      <w:r w:rsidRPr="008E781C">
        <w:rPr>
          <w:lang w:val="en-GB"/>
        </w:rPr>
        <w:t>The significant capital investment can be carried out by:</w:t>
      </w:r>
    </w:p>
    <w:p w14:paraId="27F50B00" w14:textId="77777777" w:rsidR="00C20521" w:rsidRPr="008E781C" w:rsidRDefault="00C20521" w:rsidP="006A5280">
      <w:pPr>
        <w:pStyle w:val="MMultilevel"/>
        <w:rPr>
          <w:lang w:val="en-GB"/>
        </w:rPr>
      </w:pPr>
      <w:r w:rsidRPr="008E781C">
        <w:rPr>
          <w:lang w:val="en-GB"/>
        </w:rPr>
        <w:t>the investor him/herself;</w:t>
      </w:r>
      <w:r w:rsidRPr="008E781C">
        <w:rPr>
          <w:rStyle w:val="FootnoteReference"/>
          <w:lang w:val="en-GB"/>
        </w:rPr>
        <w:footnoteReference w:id="46"/>
      </w:r>
    </w:p>
    <w:p w14:paraId="7EB3D876" w14:textId="77777777" w:rsidR="00C20521" w:rsidRPr="008E781C" w:rsidRDefault="00C20521" w:rsidP="006A5280">
      <w:pPr>
        <w:pStyle w:val="MMultilevel"/>
        <w:rPr>
          <w:lang w:val="en-GB"/>
        </w:rPr>
      </w:pPr>
      <w:r w:rsidRPr="008E781C">
        <w:rPr>
          <w:lang w:val="en-GB"/>
        </w:rPr>
        <w:t>the investor together with his/her spouse;</w:t>
      </w:r>
      <w:r w:rsidRPr="008E781C">
        <w:rPr>
          <w:rStyle w:val="FootnoteReference"/>
          <w:lang w:val="en-GB"/>
        </w:rPr>
        <w:footnoteReference w:id="47"/>
      </w:r>
    </w:p>
    <w:p w14:paraId="5484226C" w14:textId="697B60C7" w:rsidR="00C20521" w:rsidRPr="008E781C" w:rsidRDefault="00C20521" w:rsidP="006A5280">
      <w:pPr>
        <w:pStyle w:val="MMultilevel"/>
        <w:rPr>
          <w:lang w:val="en-GB"/>
        </w:rPr>
      </w:pPr>
      <w:r w:rsidRPr="008E781C">
        <w:rPr>
          <w:lang w:val="en-GB"/>
        </w:rPr>
        <w:t>a legal person, registered in a territory that is not considered a tax haven</w:t>
      </w:r>
      <w:r w:rsidR="00AC3CBF" w:rsidRPr="008E781C">
        <w:rPr>
          <w:rStyle w:val="FootnoteReference"/>
          <w:vertAlign w:val="baseline"/>
          <w:lang w:val="en-GB"/>
        </w:rPr>
        <w:footnoteReference w:id="48"/>
      </w:r>
      <w:r w:rsidRPr="008E781C">
        <w:rPr>
          <w:lang w:val="en-GB"/>
        </w:rPr>
        <w:t xml:space="preserve"> according to Spanish regulations, in which the foreign investor owns, directly or indirectly, the majority of the voting rights and has the power to appoint or dismiss the majority of the members of its administrative body.</w:t>
      </w:r>
      <w:r w:rsidRPr="008E781C">
        <w:rPr>
          <w:rStyle w:val="FootnoteReference"/>
          <w:lang w:val="en-GB"/>
        </w:rPr>
        <w:footnoteReference w:id="49"/>
      </w:r>
    </w:p>
    <w:p w14:paraId="25413C52" w14:textId="77777777" w:rsidR="005520F6" w:rsidRPr="008E781C" w:rsidRDefault="005520F6" w:rsidP="00A612C7">
      <w:pPr>
        <w:pStyle w:val="MMultilevel"/>
        <w:numPr>
          <w:ilvl w:val="0"/>
          <w:numId w:val="0"/>
        </w:numPr>
        <w:rPr>
          <w:lang w:val="en-GB"/>
        </w:rPr>
      </w:pPr>
    </w:p>
    <w:p w14:paraId="5807BCF3" w14:textId="3808EFE9" w:rsidR="0095120B" w:rsidRPr="008E781C" w:rsidRDefault="005520F6" w:rsidP="00A612C7">
      <w:pPr>
        <w:pStyle w:val="MMultilevel"/>
        <w:numPr>
          <w:ilvl w:val="0"/>
          <w:numId w:val="0"/>
        </w:numPr>
        <w:rPr>
          <w:lang w:val="en-GB"/>
        </w:rPr>
      </w:pPr>
      <w:r w:rsidRPr="008E781C">
        <w:rPr>
          <w:lang w:val="en-GB"/>
        </w:rPr>
        <w:t>In addition,</w:t>
      </w:r>
      <w:r w:rsidR="00226F14" w:rsidRPr="008E781C">
        <w:rPr>
          <w:lang w:val="en-GB"/>
        </w:rPr>
        <w:t xml:space="preserve"> to issue the investors’ residence visa</w:t>
      </w:r>
      <w:r w:rsidRPr="008E781C">
        <w:rPr>
          <w:lang w:val="en-GB"/>
        </w:rPr>
        <w:t xml:space="preserve"> the applicant </w:t>
      </w:r>
      <w:r w:rsidR="009D14EC" w:rsidRPr="008E781C">
        <w:rPr>
          <w:lang w:val="en-GB"/>
        </w:rPr>
        <w:t>must meet the</w:t>
      </w:r>
      <w:r w:rsidRPr="008E781C">
        <w:rPr>
          <w:lang w:val="en-GB"/>
        </w:rPr>
        <w:t xml:space="preserve"> general</w:t>
      </w:r>
      <w:r w:rsidR="009D14EC" w:rsidRPr="008E781C">
        <w:rPr>
          <w:lang w:val="en-GB"/>
        </w:rPr>
        <w:t xml:space="preserve"> </w:t>
      </w:r>
      <w:r w:rsidR="009D14EC" w:rsidRPr="008E781C">
        <w:rPr>
          <w:b/>
          <w:lang w:val="en-GB"/>
        </w:rPr>
        <w:t>entry requirements</w:t>
      </w:r>
      <w:r w:rsidR="00723C08" w:rsidRPr="008E781C">
        <w:rPr>
          <w:rStyle w:val="FootnoteReference"/>
          <w:lang w:val="en-GB"/>
        </w:rPr>
        <w:footnoteReference w:id="50"/>
      </w:r>
      <w:r w:rsidR="009D14EC" w:rsidRPr="008E781C">
        <w:rPr>
          <w:lang w:val="en-GB"/>
        </w:rPr>
        <w:t xml:space="preserve"> set in Regulation (EC) 562/2006</w:t>
      </w:r>
      <w:r w:rsidR="007B3D4F" w:rsidRPr="008E781C">
        <w:rPr>
          <w:lang w:val="en-GB"/>
        </w:rPr>
        <w:t xml:space="preserve"> </w:t>
      </w:r>
      <w:r w:rsidR="009D14EC" w:rsidRPr="008E781C">
        <w:rPr>
          <w:lang w:val="en-GB"/>
        </w:rPr>
        <w:t>(Sch</w:t>
      </w:r>
      <w:r w:rsidR="00C47AE1" w:rsidRPr="008E781C">
        <w:rPr>
          <w:lang w:val="en-GB"/>
        </w:rPr>
        <w:t>engen Borders Code)</w:t>
      </w:r>
      <w:r w:rsidR="00C47AE1" w:rsidRPr="008E781C">
        <w:rPr>
          <w:rStyle w:val="FootnoteReference"/>
          <w:lang w:val="en-GB"/>
        </w:rPr>
        <w:footnoteReference w:id="51"/>
      </w:r>
      <w:r w:rsidR="00C47AE1" w:rsidRPr="008E781C">
        <w:rPr>
          <w:lang w:val="en-GB"/>
        </w:rPr>
        <w:t xml:space="preserve"> </w:t>
      </w:r>
      <w:r w:rsidR="00226F14" w:rsidRPr="008E781C">
        <w:rPr>
          <w:lang w:val="en-GB"/>
        </w:rPr>
        <w:t xml:space="preserve">and those </w:t>
      </w:r>
      <w:r w:rsidR="00723C08" w:rsidRPr="008E781C">
        <w:rPr>
          <w:lang w:val="en-GB"/>
        </w:rPr>
        <w:t>of Regulation 810/2009</w:t>
      </w:r>
      <w:r w:rsidR="00226F14" w:rsidRPr="008E781C">
        <w:rPr>
          <w:lang w:val="en-GB"/>
        </w:rPr>
        <w:t>.</w:t>
      </w:r>
      <w:r w:rsidR="008D039C" w:rsidRPr="008E781C">
        <w:rPr>
          <w:lang w:val="en-GB"/>
        </w:rPr>
        <w:t xml:space="preserve"> Such requirements reproduce the need to present the documentation already referred to and add the </w:t>
      </w:r>
      <w:r w:rsidR="007B3D4F" w:rsidRPr="008E781C">
        <w:rPr>
          <w:lang w:val="en-GB"/>
        </w:rPr>
        <w:t>following</w:t>
      </w:r>
      <w:r w:rsidR="008D039C" w:rsidRPr="008E781C">
        <w:rPr>
          <w:lang w:val="en-GB"/>
        </w:rPr>
        <w:t>:</w:t>
      </w:r>
      <w:r w:rsidR="008D039C" w:rsidRPr="008E781C">
        <w:rPr>
          <w:rStyle w:val="FootnoteReference"/>
          <w:lang w:val="en-GB"/>
        </w:rPr>
        <w:footnoteReference w:id="52"/>
      </w:r>
    </w:p>
    <w:p w14:paraId="7A72C871" w14:textId="5CEE6BD3" w:rsidR="00226F14" w:rsidRPr="008E781C" w:rsidRDefault="00226F14" w:rsidP="00AB1C99">
      <w:pPr>
        <w:pStyle w:val="MMultilevel"/>
        <w:numPr>
          <w:ilvl w:val="0"/>
          <w:numId w:val="26"/>
        </w:numPr>
        <w:ind w:left="426" w:hanging="426"/>
        <w:rPr>
          <w:lang w:val="en-GB"/>
        </w:rPr>
      </w:pPr>
      <w:bookmarkStart w:id="12" w:name="_Hlk517004835"/>
      <w:r w:rsidRPr="008E781C">
        <w:rPr>
          <w:lang w:val="en-GB"/>
        </w:rPr>
        <w:t xml:space="preserve">the </w:t>
      </w:r>
      <w:r w:rsidRPr="008E781C">
        <w:rPr>
          <w:b/>
          <w:lang w:val="en-GB"/>
        </w:rPr>
        <w:t>applicant</w:t>
      </w:r>
      <w:r w:rsidRPr="008E781C">
        <w:rPr>
          <w:lang w:val="en-GB"/>
        </w:rPr>
        <w:t xml:space="preserve"> must not be a person for whom an </w:t>
      </w:r>
      <w:r w:rsidRPr="008E781C">
        <w:rPr>
          <w:b/>
          <w:lang w:val="en-GB"/>
        </w:rPr>
        <w:t xml:space="preserve">alert </w:t>
      </w:r>
      <w:r w:rsidRPr="008E781C">
        <w:rPr>
          <w:lang w:val="en-GB"/>
        </w:rPr>
        <w:t xml:space="preserve">has been issued in the </w:t>
      </w:r>
      <w:r w:rsidRPr="008E781C">
        <w:rPr>
          <w:b/>
          <w:lang w:val="en-GB"/>
        </w:rPr>
        <w:t>Schengen Information System</w:t>
      </w:r>
      <w:r w:rsidRPr="008E781C">
        <w:rPr>
          <w:vertAlign w:val="superscript"/>
          <w:lang w:val="en-GB"/>
        </w:rPr>
        <w:footnoteReference w:id="53"/>
      </w:r>
      <w:r w:rsidRPr="008E781C">
        <w:rPr>
          <w:lang w:val="en-GB"/>
        </w:rPr>
        <w:t xml:space="preserve"> </w:t>
      </w:r>
      <w:bookmarkEnd w:id="12"/>
    </w:p>
    <w:p w14:paraId="00B146D4" w14:textId="49E89396" w:rsidR="008D039C" w:rsidRPr="008E781C" w:rsidRDefault="007B3D4F" w:rsidP="00AB1C99">
      <w:pPr>
        <w:pStyle w:val="MMultilevel"/>
        <w:numPr>
          <w:ilvl w:val="0"/>
          <w:numId w:val="26"/>
        </w:numPr>
        <w:ind w:left="426" w:hanging="426"/>
        <w:rPr>
          <w:lang w:val="en-GB"/>
        </w:rPr>
      </w:pPr>
      <w:r w:rsidRPr="008E781C">
        <w:rPr>
          <w:lang w:val="en-GB"/>
        </w:rPr>
        <w:t xml:space="preserve">to </w:t>
      </w:r>
      <w:r w:rsidR="00241AD3" w:rsidRPr="008E781C">
        <w:rPr>
          <w:lang w:val="en-GB"/>
        </w:rPr>
        <w:t xml:space="preserve">present </w:t>
      </w:r>
      <w:r w:rsidR="008D039C" w:rsidRPr="008E781C">
        <w:rPr>
          <w:lang w:val="en-GB"/>
        </w:rPr>
        <w:t xml:space="preserve">a </w:t>
      </w:r>
      <w:r w:rsidR="008D039C" w:rsidRPr="008E781C">
        <w:rPr>
          <w:b/>
          <w:lang w:val="en-GB"/>
        </w:rPr>
        <w:t>photograph</w:t>
      </w:r>
      <w:r w:rsidR="00241AD3" w:rsidRPr="008E781C">
        <w:rPr>
          <w:lang w:val="en-GB"/>
        </w:rPr>
        <w:t xml:space="preserve"> (scanned or taken at the time of the application)</w:t>
      </w:r>
      <w:r w:rsidR="00241AD3" w:rsidRPr="008E781C">
        <w:rPr>
          <w:rStyle w:val="FootnoteReference"/>
          <w:lang w:val="en-GB"/>
        </w:rPr>
        <w:footnoteReference w:id="54"/>
      </w:r>
    </w:p>
    <w:p w14:paraId="45F8A676" w14:textId="5CB6DABF" w:rsidR="00241AD3" w:rsidRPr="008E781C" w:rsidRDefault="007B3D4F" w:rsidP="00AB1C99">
      <w:pPr>
        <w:pStyle w:val="MMultilevel"/>
        <w:numPr>
          <w:ilvl w:val="0"/>
          <w:numId w:val="26"/>
        </w:numPr>
        <w:ind w:left="426" w:hanging="426"/>
        <w:rPr>
          <w:lang w:val="en-GB"/>
        </w:rPr>
      </w:pPr>
      <w:r w:rsidRPr="008E781C">
        <w:rPr>
          <w:lang w:val="en-GB"/>
        </w:rPr>
        <w:t xml:space="preserve">to </w:t>
      </w:r>
      <w:r w:rsidR="00241AD3" w:rsidRPr="008E781C">
        <w:rPr>
          <w:lang w:val="en-GB"/>
        </w:rPr>
        <w:t xml:space="preserve">allow the collection of </w:t>
      </w:r>
      <w:r w:rsidR="00241AD3" w:rsidRPr="008E781C">
        <w:rPr>
          <w:b/>
          <w:lang w:val="en-GB"/>
        </w:rPr>
        <w:t>fingerprints</w:t>
      </w:r>
      <w:r w:rsidR="00241AD3" w:rsidRPr="008E781C">
        <w:rPr>
          <w:lang w:val="en-GB"/>
        </w:rPr>
        <w:t xml:space="preserve"> (10, taken flat and collected digitally)</w:t>
      </w:r>
      <w:r w:rsidR="00241AD3" w:rsidRPr="008E781C">
        <w:rPr>
          <w:rStyle w:val="FootnoteReference"/>
          <w:lang w:val="en-GB"/>
        </w:rPr>
        <w:footnoteReference w:id="55"/>
      </w:r>
    </w:p>
    <w:p w14:paraId="6DA36378" w14:textId="004A7CCD" w:rsidR="00241AD3" w:rsidRPr="008E781C" w:rsidRDefault="007B3D4F" w:rsidP="00AB1C99">
      <w:pPr>
        <w:pStyle w:val="MMultilevel"/>
        <w:numPr>
          <w:ilvl w:val="0"/>
          <w:numId w:val="26"/>
        </w:numPr>
        <w:ind w:left="426" w:hanging="426"/>
        <w:rPr>
          <w:lang w:val="en-GB"/>
        </w:rPr>
      </w:pPr>
      <w:r w:rsidRPr="008E781C">
        <w:rPr>
          <w:lang w:val="en-GB"/>
        </w:rPr>
        <w:t xml:space="preserve">to </w:t>
      </w:r>
      <w:r w:rsidR="00241AD3" w:rsidRPr="008E781C">
        <w:rPr>
          <w:lang w:val="en-GB"/>
        </w:rPr>
        <w:t xml:space="preserve">present documents in relation to </w:t>
      </w:r>
      <w:r w:rsidR="00241AD3" w:rsidRPr="008E781C">
        <w:rPr>
          <w:b/>
          <w:lang w:val="en-GB"/>
        </w:rPr>
        <w:t>accommodation or proof of sufficient means</w:t>
      </w:r>
      <w:r w:rsidR="00241AD3" w:rsidRPr="008E781C">
        <w:rPr>
          <w:lang w:val="en-GB"/>
        </w:rPr>
        <w:t xml:space="preserve"> to cover his/her accommodation</w:t>
      </w:r>
      <w:r w:rsidR="00241AD3" w:rsidRPr="008E781C">
        <w:rPr>
          <w:rStyle w:val="FootnoteReference"/>
          <w:lang w:val="en-GB"/>
        </w:rPr>
        <w:footnoteReference w:id="56"/>
      </w:r>
    </w:p>
    <w:p w14:paraId="1A8CE843" w14:textId="40B3665E" w:rsidR="00241AD3" w:rsidRPr="008E781C" w:rsidRDefault="002B6280" w:rsidP="00AB1C99">
      <w:pPr>
        <w:pStyle w:val="MMultilevel"/>
        <w:numPr>
          <w:ilvl w:val="0"/>
          <w:numId w:val="26"/>
        </w:numPr>
        <w:ind w:left="426" w:hanging="426"/>
        <w:rPr>
          <w:lang w:val="en-GB"/>
        </w:rPr>
      </w:pPr>
      <w:r w:rsidRPr="008E781C">
        <w:rPr>
          <w:lang w:val="en-GB"/>
        </w:rPr>
        <w:t xml:space="preserve">to </w:t>
      </w:r>
      <w:r w:rsidR="00241AD3" w:rsidRPr="008E781C">
        <w:rPr>
          <w:lang w:val="en-GB"/>
        </w:rPr>
        <w:t xml:space="preserve">present information enabling an assessment of the </w:t>
      </w:r>
      <w:r w:rsidR="00241AD3" w:rsidRPr="008E781C">
        <w:rPr>
          <w:b/>
          <w:lang w:val="en-GB"/>
        </w:rPr>
        <w:t>applicant’s intention to leave the territory</w:t>
      </w:r>
      <w:r w:rsidR="00241AD3" w:rsidRPr="008E781C">
        <w:rPr>
          <w:lang w:val="en-GB"/>
        </w:rPr>
        <w:t xml:space="preserve"> of the Member States before the expiry of the visa applied for</w:t>
      </w:r>
      <w:r w:rsidR="00241AD3" w:rsidRPr="008E781C">
        <w:rPr>
          <w:rStyle w:val="FootnoteReference"/>
          <w:lang w:val="en-GB"/>
        </w:rPr>
        <w:footnoteReference w:id="57"/>
      </w:r>
    </w:p>
    <w:p w14:paraId="12D2AFC8" w14:textId="58BCEE9C" w:rsidR="00241AD3" w:rsidRPr="008E781C" w:rsidRDefault="002B6280" w:rsidP="00AB1C99">
      <w:pPr>
        <w:pStyle w:val="MMultilevel"/>
        <w:numPr>
          <w:ilvl w:val="0"/>
          <w:numId w:val="26"/>
        </w:numPr>
        <w:ind w:left="426" w:hanging="426"/>
        <w:rPr>
          <w:lang w:val="en-GB"/>
        </w:rPr>
      </w:pPr>
      <w:r w:rsidRPr="008E781C">
        <w:rPr>
          <w:lang w:val="en-GB"/>
        </w:rPr>
        <w:t xml:space="preserve">to </w:t>
      </w:r>
      <w:r w:rsidR="002D7E77" w:rsidRPr="008E781C">
        <w:rPr>
          <w:lang w:val="en-GB"/>
        </w:rPr>
        <w:t>pr</w:t>
      </w:r>
      <w:r w:rsidRPr="008E781C">
        <w:rPr>
          <w:lang w:val="en-GB"/>
        </w:rPr>
        <w:t>esent pr</w:t>
      </w:r>
      <w:r w:rsidR="002D7E77" w:rsidRPr="008E781C">
        <w:rPr>
          <w:lang w:val="en-GB"/>
        </w:rPr>
        <w:t xml:space="preserve">oof that the applicant is in possession of </w:t>
      </w:r>
      <w:r w:rsidR="002D7E77" w:rsidRPr="008E781C">
        <w:rPr>
          <w:b/>
          <w:lang w:val="en-GB"/>
        </w:rPr>
        <w:t xml:space="preserve">adequate and valid travel medical </w:t>
      </w:r>
      <w:r w:rsidRPr="008E781C">
        <w:rPr>
          <w:b/>
          <w:lang w:val="en-GB"/>
        </w:rPr>
        <w:t>insurance</w:t>
      </w:r>
      <w:r w:rsidR="002D7E77" w:rsidRPr="008E781C">
        <w:rPr>
          <w:lang w:val="en-GB"/>
        </w:rPr>
        <w:t xml:space="preserve"> (i.e. sufficient to cover the medical expenses for the entire period of intended stay and </w:t>
      </w:r>
      <w:r w:rsidR="002D7E77" w:rsidRPr="008E781C">
        <w:rPr>
          <w:lang w:val="en-GB"/>
        </w:rPr>
        <w:lastRenderedPageBreak/>
        <w:t>with a minimum coverage of EUR 30,000)</w:t>
      </w:r>
      <w:r w:rsidR="002D7E77" w:rsidRPr="008E781C">
        <w:rPr>
          <w:rStyle w:val="FootnoteReference"/>
          <w:lang w:val="en-GB"/>
        </w:rPr>
        <w:footnoteReference w:id="58"/>
      </w:r>
    </w:p>
    <w:p w14:paraId="1E21EC5D" w14:textId="79929570" w:rsidR="002D7E77" w:rsidRPr="008E781C" w:rsidRDefault="002B6280" w:rsidP="00AB1C99">
      <w:pPr>
        <w:pStyle w:val="MMultilevel"/>
        <w:numPr>
          <w:ilvl w:val="0"/>
          <w:numId w:val="26"/>
        </w:numPr>
        <w:ind w:left="426" w:hanging="426"/>
        <w:rPr>
          <w:lang w:val="en-GB"/>
        </w:rPr>
      </w:pPr>
      <w:r w:rsidRPr="008E781C">
        <w:rPr>
          <w:lang w:val="en-GB"/>
        </w:rPr>
        <w:t xml:space="preserve">to present </w:t>
      </w:r>
      <w:r w:rsidR="002D7E77" w:rsidRPr="008E781C">
        <w:rPr>
          <w:lang w:val="en-GB"/>
        </w:rPr>
        <w:t xml:space="preserve">proof of payment of the </w:t>
      </w:r>
      <w:r w:rsidR="002D7E77" w:rsidRPr="008E781C">
        <w:rPr>
          <w:b/>
          <w:lang w:val="en-GB"/>
        </w:rPr>
        <w:t>visa fee</w:t>
      </w:r>
      <w:r w:rsidR="002D7E77" w:rsidRPr="008E781C">
        <w:rPr>
          <w:lang w:val="en-GB"/>
        </w:rPr>
        <w:t xml:space="preserve"> of </w:t>
      </w:r>
      <w:r w:rsidR="002D7E77" w:rsidRPr="008E781C">
        <w:rPr>
          <w:b/>
          <w:lang w:val="en-GB"/>
        </w:rPr>
        <w:t>EUR 60</w:t>
      </w:r>
      <w:r w:rsidR="002D7E77" w:rsidRPr="008E781C">
        <w:rPr>
          <w:rStyle w:val="FootnoteReference"/>
          <w:lang w:val="en-GB"/>
        </w:rPr>
        <w:footnoteReference w:id="59"/>
      </w:r>
    </w:p>
    <w:p w14:paraId="3F6E0709" w14:textId="77777777" w:rsidR="00C20521" w:rsidRPr="008E781C" w:rsidRDefault="00C20521" w:rsidP="00C20521">
      <w:pPr>
        <w:pStyle w:val="MMultilevel"/>
        <w:numPr>
          <w:ilvl w:val="0"/>
          <w:numId w:val="0"/>
        </w:numPr>
        <w:rPr>
          <w:lang w:val="en-GB"/>
        </w:rPr>
      </w:pPr>
    </w:p>
    <w:p w14:paraId="1B74528B" w14:textId="7129CC74" w:rsidR="00C20521" w:rsidRPr="008E781C" w:rsidRDefault="00C20521" w:rsidP="00C20521">
      <w:pPr>
        <w:pStyle w:val="MMultilevel"/>
        <w:numPr>
          <w:ilvl w:val="0"/>
          <w:numId w:val="0"/>
        </w:numPr>
        <w:rPr>
          <w:lang w:val="en-GB"/>
        </w:rPr>
      </w:pPr>
      <w:r w:rsidRPr="008E781C">
        <w:rPr>
          <w:lang w:val="en-GB"/>
        </w:rPr>
        <w:t xml:space="preserve">The </w:t>
      </w:r>
      <w:r w:rsidRPr="008E781C">
        <w:rPr>
          <w:b/>
          <w:lang w:val="en-GB"/>
        </w:rPr>
        <w:t>application</w:t>
      </w:r>
      <w:r w:rsidRPr="008E781C">
        <w:rPr>
          <w:lang w:val="en-GB"/>
        </w:rPr>
        <w:t xml:space="preserve"> must be </w:t>
      </w:r>
      <w:r w:rsidRPr="008E781C">
        <w:rPr>
          <w:b/>
          <w:lang w:val="en-GB"/>
        </w:rPr>
        <w:t>lodged in person</w:t>
      </w:r>
      <w:r w:rsidRPr="008E781C">
        <w:rPr>
          <w:rStyle w:val="FootnoteReference"/>
          <w:lang w:val="en-GB"/>
        </w:rPr>
        <w:footnoteReference w:id="60"/>
      </w:r>
      <w:r w:rsidRPr="008E781C">
        <w:rPr>
          <w:lang w:val="en-GB"/>
        </w:rPr>
        <w:t xml:space="preserve"> by the applicant or an accredited commercial intermediary.</w:t>
      </w:r>
      <w:r w:rsidRPr="008E781C">
        <w:rPr>
          <w:rStyle w:val="FootnoteReference"/>
          <w:lang w:val="en-GB"/>
        </w:rPr>
        <w:footnoteReference w:id="61"/>
      </w:r>
      <w:r w:rsidRPr="008E781C">
        <w:rPr>
          <w:lang w:val="en-GB"/>
        </w:rPr>
        <w:t xml:space="preserve"> In the case of investors’ residence visas, in addition, when the investment is in a business project (letter (c)</w:t>
      </w:r>
      <w:r w:rsidR="002B6280" w:rsidRPr="008E781C">
        <w:rPr>
          <w:lang w:val="en-GB"/>
        </w:rPr>
        <w:t xml:space="preserve"> above</w:t>
      </w:r>
      <w:r w:rsidRPr="008E781C">
        <w:rPr>
          <w:lang w:val="en-GB"/>
        </w:rPr>
        <w:t>), the visa can be obtained by a representative, appointed by the investor and duly accredited for the project management.</w:t>
      </w:r>
      <w:r w:rsidRPr="008E781C">
        <w:rPr>
          <w:vertAlign w:val="superscript"/>
          <w:lang w:val="en-GB"/>
        </w:rPr>
        <w:footnoteReference w:id="62"/>
      </w:r>
      <w:r w:rsidRPr="008E781C">
        <w:rPr>
          <w:lang w:val="en-GB"/>
        </w:rPr>
        <w:t xml:space="preserve"> The application must be lodged no more than </w:t>
      </w:r>
      <w:r w:rsidRPr="008E781C">
        <w:rPr>
          <w:b/>
          <w:lang w:val="en-GB"/>
        </w:rPr>
        <w:t>three months before the start of the intended stay</w:t>
      </w:r>
      <w:r w:rsidRPr="008E781C">
        <w:rPr>
          <w:lang w:val="en-GB"/>
        </w:rPr>
        <w:t>.</w:t>
      </w:r>
      <w:r w:rsidRPr="008E781C">
        <w:rPr>
          <w:rStyle w:val="FootnoteReference"/>
          <w:lang w:val="en-GB"/>
        </w:rPr>
        <w:footnoteReference w:id="63"/>
      </w:r>
      <w:r w:rsidRPr="008E781C">
        <w:rPr>
          <w:lang w:val="en-GB"/>
        </w:rPr>
        <w:t xml:space="preserve"> Normally, an appointment is set with the consulate to lodge the application.</w:t>
      </w:r>
      <w:r w:rsidRPr="008E781C">
        <w:rPr>
          <w:rStyle w:val="FootnoteReference"/>
          <w:lang w:val="en-GB"/>
        </w:rPr>
        <w:footnoteReference w:id="64"/>
      </w:r>
      <w:r w:rsidRPr="008E781C">
        <w:rPr>
          <w:lang w:val="en-GB"/>
        </w:rPr>
        <w:t xml:space="preserve"> </w:t>
      </w:r>
    </w:p>
    <w:p w14:paraId="4A2F42CE" w14:textId="3600D33C" w:rsidR="00C20521" w:rsidRPr="008E781C" w:rsidRDefault="00C20521" w:rsidP="00C20521">
      <w:pPr>
        <w:pStyle w:val="MMultilevel"/>
        <w:numPr>
          <w:ilvl w:val="0"/>
          <w:numId w:val="0"/>
        </w:numPr>
        <w:rPr>
          <w:lang w:val="en-GB"/>
        </w:rPr>
      </w:pPr>
    </w:p>
    <w:p w14:paraId="3E22DD20" w14:textId="33FE9FE6" w:rsidR="002E0B98" w:rsidRPr="008E781C" w:rsidRDefault="00226F14" w:rsidP="00BB28C5">
      <w:pPr>
        <w:pStyle w:val="MMultilevel"/>
        <w:numPr>
          <w:ilvl w:val="0"/>
          <w:numId w:val="0"/>
        </w:numPr>
        <w:rPr>
          <w:lang w:val="en-GB"/>
        </w:rPr>
      </w:pPr>
      <w:r w:rsidRPr="008E781C">
        <w:rPr>
          <w:lang w:val="en-GB"/>
        </w:rPr>
        <w:t>Investors’ residence v</w:t>
      </w:r>
      <w:r w:rsidR="00361358" w:rsidRPr="008E781C">
        <w:rPr>
          <w:lang w:val="en-GB"/>
        </w:rPr>
        <w:t>isa</w:t>
      </w:r>
      <w:r w:rsidR="00C20521" w:rsidRPr="008E781C">
        <w:rPr>
          <w:lang w:val="en-GB"/>
        </w:rPr>
        <w:t xml:space="preserve"> applications </w:t>
      </w:r>
      <w:r w:rsidR="00361358" w:rsidRPr="008E781C">
        <w:rPr>
          <w:lang w:val="en-GB"/>
        </w:rPr>
        <w:t xml:space="preserve">are examined </w:t>
      </w:r>
      <w:r w:rsidR="00C20521" w:rsidRPr="008E781C">
        <w:rPr>
          <w:lang w:val="en-GB"/>
        </w:rPr>
        <w:t>and decide</w:t>
      </w:r>
      <w:r w:rsidR="00361358" w:rsidRPr="008E781C">
        <w:rPr>
          <w:lang w:val="en-GB"/>
        </w:rPr>
        <w:t>d upon</w:t>
      </w:r>
      <w:r w:rsidR="00C20521" w:rsidRPr="008E781C">
        <w:rPr>
          <w:lang w:val="en-GB"/>
        </w:rPr>
        <w:t xml:space="preserve"> </w:t>
      </w:r>
      <w:r w:rsidR="00361358" w:rsidRPr="008E781C">
        <w:rPr>
          <w:lang w:val="en-GB"/>
        </w:rPr>
        <w:t>by</w:t>
      </w:r>
      <w:r w:rsidR="00C20521" w:rsidRPr="008E781C">
        <w:rPr>
          <w:lang w:val="en-GB"/>
        </w:rPr>
        <w:t xml:space="preserve"> the</w:t>
      </w:r>
      <w:r w:rsidR="00361358" w:rsidRPr="008E781C">
        <w:rPr>
          <w:lang w:val="en-GB"/>
        </w:rPr>
        <w:t xml:space="preserve"> Spanish</w:t>
      </w:r>
      <w:r w:rsidR="00C20521" w:rsidRPr="008E781C">
        <w:rPr>
          <w:lang w:val="en-GB"/>
        </w:rPr>
        <w:t xml:space="preserve"> </w:t>
      </w:r>
      <w:r w:rsidR="005520F6" w:rsidRPr="008E781C">
        <w:rPr>
          <w:b/>
          <w:lang w:val="en-GB"/>
        </w:rPr>
        <w:t>consular offices and</w:t>
      </w:r>
      <w:r w:rsidR="00C20521" w:rsidRPr="008E781C">
        <w:rPr>
          <w:b/>
          <w:lang w:val="en-GB"/>
        </w:rPr>
        <w:t xml:space="preserve"> diplomatic mission</w:t>
      </w:r>
      <w:r w:rsidR="005520F6" w:rsidRPr="008E781C">
        <w:rPr>
          <w:b/>
          <w:lang w:val="en-GB"/>
        </w:rPr>
        <w:t>s</w:t>
      </w:r>
      <w:r w:rsidR="00C20521" w:rsidRPr="008E781C">
        <w:rPr>
          <w:lang w:val="en-GB"/>
        </w:rPr>
        <w:t xml:space="preserve"> in the territory from where the foreigner </w:t>
      </w:r>
      <w:r w:rsidR="00361358" w:rsidRPr="008E781C">
        <w:rPr>
          <w:lang w:val="en-GB"/>
        </w:rPr>
        <w:t>intends</w:t>
      </w:r>
      <w:r w:rsidR="00C20521" w:rsidRPr="008E781C">
        <w:rPr>
          <w:lang w:val="en-GB"/>
        </w:rPr>
        <w:t xml:space="preserve"> to access the Spanish territory.</w:t>
      </w:r>
      <w:r w:rsidR="00C20521" w:rsidRPr="008E781C">
        <w:rPr>
          <w:rStyle w:val="FootnoteReference"/>
          <w:lang w:val="en-GB"/>
        </w:rPr>
        <w:footnoteReference w:id="65"/>
      </w:r>
      <w:r w:rsidR="00C20521" w:rsidRPr="008E781C">
        <w:rPr>
          <w:lang w:val="en-GB"/>
        </w:rPr>
        <w:t xml:space="preserve"> </w:t>
      </w:r>
      <w:r w:rsidR="00951135" w:rsidRPr="008E781C">
        <w:rPr>
          <w:lang w:val="en-GB"/>
        </w:rPr>
        <w:t>This means, that the consular offices and diplomatic missions examine, inter alia, the existence of the corresponding investment. In doing so, they act in cooperation with their Economic and Commercial Office (</w:t>
      </w:r>
      <w:r w:rsidR="00951135" w:rsidRPr="008E781C">
        <w:rPr>
          <w:i/>
          <w:lang w:val="en-GB"/>
        </w:rPr>
        <w:t>Oficina Económica y Comercial</w:t>
      </w:r>
      <w:r w:rsidR="00951135" w:rsidRPr="008E781C">
        <w:rPr>
          <w:lang w:val="en-GB"/>
        </w:rPr>
        <w:t>)</w:t>
      </w:r>
      <w:r w:rsidR="004C3082" w:rsidRPr="008E781C">
        <w:rPr>
          <w:lang w:val="en-GB"/>
        </w:rPr>
        <w:t>,</w:t>
      </w:r>
      <w:r w:rsidR="00951135" w:rsidRPr="008E781C">
        <w:rPr>
          <w:vertAlign w:val="superscript"/>
          <w:lang w:val="en-GB"/>
        </w:rPr>
        <w:footnoteReference w:id="66"/>
      </w:r>
      <w:r w:rsidR="00951135" w:rsidRPr="008E781C">
        <w:rPr>
          <w:lang w:val="en-GB"/>
        </w:rPr>
        <w:t xml:space="preserve"> </w:t>
      </w:r>
      <w:r w:rsidR="004C3082" w:rsidRPr="008E781C">
        <w:rPr>
          <w:lang w:val="en-GB"/>
        </w:rPr>
        <w:t>which must issue a favourable report regarding the application and the investment.</w:t>
      </w:r>
      <w:r w:rsidR="004C3082" w:rsidRPr="008E781C">
        <w:rPr>
          <w:vertAlign w:val="superscript"/>
          <w:lang w:val="en-GB"/>
        </w:rPr>
        <w:footnoteReference w:id="67"/>
      </w:r>
      <w:r w:rsidR="004C3082" w:rsidRPr="008E781C">
        <w:rPr>
          <w:lang w:val="en-GB"/>
        </w:rPr>
        <w:t xml:space="preserve"> </w:t>
      </w:r>
      <w:r w:rsidR="002E0B98" w:rsidRPr="008E781C">
        <w:rPr>
          <w:lang w:val="en-GB"/>
        </w:rPr>
        <w:t>This Office, depending on the type of investment carried out, may consult the corresponding authorities to verify that the investment has been made. These are:</w:t>
      </w:r>
      <w:r w:rsidR="002E0B98" w:rsidRPr="008E781C">
        <w:rPr>
          <w:vertAlign w:val="superscript"/>
          <w:lang w:val="en-GB"/>
        </w:rPr>
        <w:footnoteReference w:id="68"/>
      </w:r>
    </w:p>
    <w:p w14:paraId="5A89E612" w14:textId="0D12516B" w:rsidR="002E0B98" w:rsidRPr="008E781C" w:rsidRDefault="002E0B98" w:rsidP="00AB1C99">
      <w:pPr>
        <w:pStyle w:val="MMultilevel"/>
        <w:numPr>
          <w:ilvl w:val="0"/>
          <w:numId w:val="52"/>
        </w:numPr>
        <w:ind w:left="392" w:hanging="406"/>
        <w:rPr>
          <w:lang w:val="en-GB"/>
        </w:rPr>
      </w:pPr>
      <w:r w:rsidRPr="008E781C">
        <w:rPr>
          <w:lang w:val="en-GB"/>
        </w:rPr>
        <w:t xml:space="preserve">Ministry of Economy and Competitiveness (General Directorate), </w:t>
      </w:r>
    </w:p>
    <w:p w14:paraId="774C2B62" w14:textId="77777777" w:rsidR="002E0B98" w:rsidRPr="00626E2C" w:rsidRDefault="002E0B98" w:rsidP="00AB1C99">
      <w:pPr>
        <w:pStyle w:val="MMultilevel"/>
        <w:numPr>
          <w:ilvl w:val="0"/>
          <w:numId w:val="52"/>
        </w:numPr>
        <w:ind w:left="392" w:hanging="406"/>
        <w:rPr>
          <w:lang w:val="es-ES"/>
        </w:rPr>
      </w:pPr>
      <w:r w:rsidRPr="00626E2C">
        <w:rPr>
          <w:lang w:val="es-ES"/>
        </w:rPr>
        <w:t>the National Securities Market Commission (</w:t>
      </w:r>
      <w:r w:rsidRPr="00626E2C">
        <w:rPr>
          <w:i/>
          <w:lang w:val="es-ES"/>
        </w:rPr>
        <w:t>Comisión Nacional del Mercado de Valores</w:t>
      </w:r>
      <w:r w:rsidRPr="00626E2C">
        <w:rPr>
          <w:lang w:val="es-ES"/>
        </w:rPr>
        <w:t>, CNMV)</w:t>
      </w:r>
    </w:p>
    <w:p w14:paraId="40294F8E" w14:textId="77777777" w:rsidR="002E0B98" w:rsidRPr="008E781C" w:rsidRDefault="002E0B98" w:rsidP="00AB1C99">
      <w:pPr>
        <w:pStyle w:val="MMultilevel"/>
        <w:numPr>
          <w:ilvl w:val="0"/>
          <w:numId w:val="52"/>
        </w:numPr>
        <w:ind w:left="392" w:hanging="406"/>
        <w:rPr>
          <w:lang w:val="en-GB"/>
        </w:rPr>
      </w:pPr>
      <w:r w:rsidRPr="008E781C">
        <w:rPr>
          <w:lang w:val="en-GB"/>
        </w:rPr>
        <w:t>the National Central Bank – Bank of Spain (</w:t>
      </w:r>
      <w:r w:rsidRPr="008E781C">
        <w:rPr>
          <w:i/>
          <w:lang w:val="en-GB"/>
        </w:rPr>
        <w:t>Banco de España</w:t>
      </w:r>
      <w:r w:rsidRPr="008E781C">
        <w:rPr>
          <w:lang w:val="en-GB"/>
        </w:rPr>
        <w:t xml:space="preserve">), </w:t>
      </w:r>
    </w:p>
    <w:p w14:paraId="0BDDC54B" w14:textId="77777777" w:rsidR="002E0B98" w:rsidRPr="008E781C" w:rsidRDefault="002E0B98" w:rsidP="00AB1C99">
      <w:pPr>
        <w:pStyle w:val="MMultilevel"/>
        <w:numPr>
          <w:ilvl w:val="0"/>
          <w:numId w:val="52"/>
        </w:numPr>
        <w:ind w:left="392" w:hanging="406"/>
        <w:rPr>
          <w:lang w:val="en-GB"/>
        </w:rPr>
      </w:pPr>
      <w:r w:rsidRPr="008E781C">
        <w:rPr>
          <w:lang w:val="en-GB"/>
        </w:rPr>
        <w:t>the Property Registry (</w:t>
      </w:r>
      <w:r w:rsidRPr="008E781C">
        <w:rPr>
          <w:i/>
          <w:lang w:val="en-GB"/>
        </w:rPr>
        <w:t>Registro de la Propiedad</w:t>
      </w:r>
      <w:r w:rsidRPr="008E781C">
        <w:rPr>
          <w:lang w:val="en-GB"/>
        </w:rPr>
        <w:t>),</w:t>
      </w:r>
      <w:r w:rsidRPr="008E781C">
        <w:rPr>
          <w:vertAlign w:val="superscript"/>
          <w:lang w:val="en-GB"/>
        </w:rPr>
        <w:footnoteReference w:id="69"/>
      </w:r>
      <w:r w:rsidRPr="008E781C">
        <w:rPr>
          <w:lang w:val="en-GB"/>
        </w:rPr>
        <w:t xml:space="preserve"> or </w:t>
      </w:r>
    </w:p>
    <w:p w14:paraId="5E5AAE63" w14:textId="00F865AF" w:rsidR="002E0B98" w:rsidRPr="008E781C" w:rsidRDefault="002E0B98" w:rsidP="00AB1C99">
      <w:pPr>
        <w:pStyle w:val="MMultilevel"/>
        <w:numPr>
          <w:ilvl w:val="0"/>
          <w:numId w:val="52"/>
        </w:numPr>
        <w:ind w:left="392" w:hanging="406"/>
        <w:rPr>
          <w:lang w:val="en-GB"/>
        </w:rPr>
      </w:pPr>
      <w:r w:rsidRPr="008E781C">
        <w:rPr>
          <w:lang w:val="en-GB"/>
        </w:rPr>
        <w:t>private entities: a financial intermediary registered with the CNMV when the investment is in traded shares, the financial institution when the investment is in public debt or a bank deposit, and a company managing the investment fund when the investment is in such funds.</w:t>
      </w:r>
    </w:p>
    <w:p w14:paraId="4D9E7831" w14:textId="77777777" w:rsidR="002E0B98" w:rsidRPr="008E781C" w:rsidRDefault="002E0B98" w:rsidP="00C20521">
      <w:pPr>
        <w:pStyle w:val="MMultilevel"/>
        <w:numPr>
          <w:ilvl w:val="0"/>
          <w:numId w:val="0"/>
        </w:numPr>
        <w:rPr>
          <w:lang w:val="en-GB"/>
        </w:rPr>
      </w:pPr>
    </w:p>
    <w:p w14:paraId="5CB65B89" w14:textId="36D7355D" w:rsidR="002E0B98" w:rsidRPr="008E781C" w:rsidRDefault="002E0B98" w:rsidP="00C20521">
      <w:pPr>
        <w:pStyle w:val="MMultilevel"/>
        <w:numPr>
          <w:ilvl w:val="0"/>
          <w:numId w:val="0"/>
        </w:numPr>
        <w:rPr>
          <w:lang w:val="en-GB"/>
        </w:rPr>
      </w:pPr>
      <w:r w:rsidRPr="008E781C">
        <w:rPr>
          <w:lang w:val="en-GB"/>
        </w:rPr>
        <w:t>The way in which the fulfilment of the investment requirement is verified is explained in Section II.2 (Table Type of Investment) below.</w:t>
      </w:r>
    </w:p>
    <w:p w14:paraId="01C246F5" w14:textId="77777777" w:rsidR="002E0B98" w:rsidRPr="008E781C" w:rsidRDefault="002E0B98" w:rsidP="00C20521">
      <w:pPr>
        <w:pStyle w:val="MMultilevel"/>
        <w:numPr>
          <w:ilvl w:val="0"/>
          <w:numId w:val="0"/>
        </w:numPr>
        <w:rPr>
          <w:lang w:val="en-GB"/>
        </w:rPr>
      </w:pPr>
    </w:p>
    <w:p w14:paraId="6AC63216" w14:textId="1FE9908A" w:rsidR="00A1181E" w:rsidRPr="008E781C" w:rsidRDefault="00C20521" w:rsidP="00C20521">
      <w:pPr>
        <w:pStyle w:val="MMultilevel"/>
        <w:numPr>
          <w:ilvl w:val="0"/>
          <w:numId w:val="0"/>
        </w:numPr>
        <w:rPr>
          <w:lang w:val="en-GB"/>
        </w:rPr>
      </w:pPr>
      <w:r w:rsidRPr="008E781C">
        <w:rPr>
          <w:lang w:val="en-GB"/>
        </w:rPr>
        <w:t xml:space="preserve">In examining the application for a residence visa, the diplomatic missions and consular offices can request information </w:t>
      </w:r>
      <w:r w:rsidR="00361358" w:rsidRPr="008E781C">
        <w:rPr>
          <w:lang w:val="en-GB"/>
        </w:rPr>
        <w:t xml:space="preserve">from </w:t>
      </w:r>
      <w:r w:rsidRPr="008E781C">
        <w:rPr>
          <w:lang w:val="en-GB"/>
        </w:rPr>
        <w:t xml:space="preserve">the </w:t>
      </w:r>
      <w:r w:rsidR="005520F6" w:rsidRPr="008E781C">
        <w:rPr>
          <w:lang w:val="en-GB"/>
        </w:rPr>
        <w:t>General Directorate of the Police (DGP)</w:t>
      </w:r>
      <w:r w:rsidRPr="008E781C">
        <w:rPr>
          <w:lang w:val="en-GB"/>
        </w:rPr>
        <w:t xml:space="preserve"> to check if the applicant represents a risk for security.</w:t>
      </w:r>
      <w:r w:rsidRPr="008E781C">
        <w:rPr>
          <w:vertAlign w:val="superscript"/>
          <w:lang w:val="en-GB"/>
        </w:rPr>
        <w:footnoteReference w:id="70"/>
      </w:r>
      <w:r w:rsidRPr="008E781C">
        <w:rPr>
          <w:lang w:val="en-GB"/>
        </w:rPr>
        <w:t xml:space="preserve"> The DG</w:t>
      </w:r>
      <w:r w:rsidR="005520F6" w:rsidRPr="008E781C">
        <w:rPr>
          <w:lang w:val="en-GB"/>
        </w:rPr>
        <w:t>P</w:t>
      </w:r>
      <w:r w:rsidRPr="008E781C">
        <w:rPr>
          <w:lang w:val="en-GB"/>
        </w:rPr>
        <w:t xml:space="preserve"> must provide an answer </w:t>
      </w:r>
      <w:r w:rsidR="00361358" w:rsidRPr="008E781C">
        <w:rPr>
          <w:lang w:val="en-GB"/>
        </w:rPr>
        <w:t xml:space="preserve">within </w:t>
      </w:r>
      <w:r w:rsidRPr="008E781C">
        <w:rPr>
          <w:lang w:val="en-GB"/>
        </w:rPr>
        <w:t xml:space="preserve">seven days </w:t>
      </w:r>
      <w:r w:rsidR="00361358" w:rsidRPr="008E781C">
        <w:rPr>
          <w:lang w:val="en-GB"/>
        </w:rPr>
        <w:t xml:space="preserve">from receiving </w:t>
      </w:r>
      <w:r w:rsidRPr="008E781C">
        <w:rPr>
          <w:lang w:val="en-GB"/>
        </w:rPr>
        <w:t xml:space="preserve">the </w:t>
      </w:r>
      <w:r w:rsidRPr="008E781C">
        <w:rPr>
          <w:lang w:val="en-GB"/>
        </w:rPr>
        <w:lastRenderedPageBreak/>
        <w:t xml:space="preserve">request. </w:t>
      </w:r>
      <w:r w:rsidR="00226F14" w:rsidRPr="008E781C">
        <w:rPr>
          <w:lang w:val="en-GB"/>
        </w:rPr>
        <w:t>Failing this,</w:t>
      </w:r>
      <w:r w:rsidRPr="008E781C">
        <w:rPr>
          <w:lang w:val="en-GB"/>
        </w:rPr>
        <w:t xml:space="preserve"> the answer is considered positive (i.e. the applicant represents a security risk).</w:t>
      </w:r>
      <w:r w:rsidRPr="008E781C">
        <w:rPr>
          <w:vertAlign w:val="superscript"/>
          <w:lang w:val="en-GB"/>
        </w:rPr>
        <w:footnoteReference w:id="71"/>
      </w:r>
      <w:r w:rsidR="00FE4BD8" w:rsidRPr="008E781C">
        <w:rPr>
          <w:lang w:val="en-GB"/>
        </w:rPr>
        <w:t xml:space="preserve"> Regulation 810/2009 also foresees the possibility that</w:t>
      </w:r>
      <w:r w:rsidR="00986FD4" w:rsidRPr="008E781C">
        <w:rPr>
          <w:lang w:val="en-GB"/>
        </w:rPr>
        <w:t xml:space="preserve"> </w:t>
      </w:r>
      <w:r w:rsidR="00986FD4" w:rsidRPr="008E781C">
        <w:rPr>
          <w:b/>
          <w:lang w:val="en-GB"/>
        </w:rPr>
        <w:t>the consulate</w:t>
      </w:r>
      <w:r w:rsidR="000032E4" w:rsidRPr="008E781C">
        <w:rPr>
          <w:lang w:val="en-GB"/>
        </w:rPr>
        <w:t xml:space="preserve"> or diplomatic mission</w:t>
      </w:r>
      <w:r w:rsidR="00140762" w:rsidRPr="008E781C">
        <w:rPr>
          <w:lang w:val="en-GB"/>
        </w:rPr>
        <w:t>,</w:t>
      </w:r>
      <w:r w:rsidR="004D6A87" w:rsidRPr="008E781C">
        <w:rPr>
          <w:lang w:val="en-GB"/>
        </w:rPr>
        <w:t xml:space="preserve"> following </w:t>
      </w:r>
      <w:r w:rsidR="00FE4BD8" w:rsidRPr="008E781C">
        <w:rPr>
          <w:lang w:val="en-GB"/>
        </w:rPr>
        <w:t>their</w:t>
      </w:r>
      <w:r w:rsidR="004D6A87" w:rsidRPr="008E781C">
        <w:rPr>
          <w:lang w:val="en-GB"/>
        </w:rPr>
        <w:t xml:space="preserve"> own discretion</w:t>
      </w:r>
      <w:r w:rsidR="00140762" w:rsidRPr="008E781C">
        <w:rPr>
          <w:lang w:val="en-GB"/>
        </w:rPr>
        <w:t>,</w:t>
      </w:r>
      <w:r w:rsidR="00FE4BD8" w:rsidRPr="008E781C">
        <w:rPr>
          <w:lang w:val="en-GB"/>
        </w:rPr>
        <w:t xml:space="preserve"> in justified cases,</w:t>
      </w:r>
      <w:r w:rsidR="00986FD4" w:rsidRPr="008E781C">
        <w:rPr>
          <w:b/>
          <w:lang w:val="en-GB"/>
        </w:rPr>
        <w:t xml:space="preserve"> </w:t>
      </w:r>
      <w:r w:rsidR="00FE4BD8" w:rsidRPr="008E781C">
        <w:rPr>
          <w:b/>
          <w:lang w:val="en-GB"/>
        </w:rPr>
        <w:t>requests</w:t>
      </w:r>
      <w:r w:rsidR="00986FD4" w:rsidRPr="008E781C">
        <w:rPr>
          <w:b/>
          <w:lang w:val="en-GB"/>
        </w:rPr>
        <w:t xml:space="preserve"> the applicant to appear in person for a personal interview</w:t>
      </w:r>
      <w:r w:rsidR="00986FD4" w:rsidRPr="008E781C">
        <w:rPr>
          <w:lang w:val="en-GB"/>
        </w:rPr>
        <w:t xml:space="preserve"> </w:t>
      </w:r>
      <w:r w:rsidR="00FE4BD8" w:rsidRPr="008E781C">
        <w:rPr>
          <w:lang w:val="en-GB"/>
        </w:rPr>
        <w:t xml:space="preserve">and to present </w:t>
      </w:r>
      <w:r w:rsidR="00FE4BD8" w:rsidRPr="008E781C">
        <w:rPr>
          <w:b/>
          <w:lang w:val="en-GB"/>
        </w:rPr>
        <w:t>additional documents</w:t>
      </w:r>
      <w:r w:rsidR="00986FD4" w:rsidRPr="008E781C">
        <w:rPr>
          <w:lang w:val="en-GB"/>
        </w:rPr>
        <w:t>.</w:t>
      </w:r>
      <w:r w:rsidR="00986FD4" w:rsidRPr="008E781C">
        <w:rPr>
          <w:rStyle w:val="FootnoteReference"/>
          <w:lang w:val="en-GB"/>
        </w:rPr>
        <w:footnoteReference w:id="72"/>
      </w:r>
      <w:r w:rsidR="00226F14" w:rsidRPr="008E781C">
        <w:rPr>
          <w:lang w:val="en-GB"/>
        </w:rPr>
        <w:t xml:space="preserve"> In practice, according to stakeholder input, such interview is only carried out in specific cases where, for example, the type of investment made (e.g. business project) is of particular interest or when applicants request a clarification of the steps or documentation in the proceedings.</w:t>
      </w:r>
      <w:r w:rsidR="00226F14" w:rsidRPr="008E781C">
        <w:rPr>
          <w:rStyle w:val="FootnoteReference"/>
          <w:lang w:val="en-GB"/>
        </w:rPr>
        <w:footnoteReference w:id="73"/>
      </w:r>
    </w:p>
    <w:p w14:paraId="5C250CD7" w14:textId="146A6A33" w:rsidR="00986FD4" w:rsidRPr="008E781C" w:rsidRDefault="00986FD4" w:rsidP="00A612C7">
      <w:pPr>
        <w:pStyle w:val="MMultilevel"/>
        <w:numPr>
          <w:ilvl w:val="0"/>
          <w:numId w:val="0"/>
        </w:numPr>
        <w:rPr>
          <w:lang w:val="en-GB"/>
        </w:rPr>
      </w:pPr>
    </w:p>
    <w:p w14:paraId="5178F50D" w14:textId="46916CAC" w:rsidR="00986FD4" w:rsidRPr="008E781C" w:rsidRDefault="00986FD4" w:rsidP="00A612C7">
      <w:pPr>
        <w:pStyle w:val="MMultilevel"/>
        <w:numPr>
          <w:ilvl w:val="0"/>
          <w:numId w:val="0"/>
        </w:numPr>
        <w:rPr>
          <w:lang w:val="en-GB"/>
        </w:rPr>
      </w:pPr>
      <w:r w:rsidRPr="008E781C">
        <w:rPr>
          <w:lang w:val="en-GB"/>
        </w:rPr>
        <w:t xml:space="preserve">The application must be submitted in the </w:t>
      </w:r>
      <w:r w:rsidRPr="008E781C">
        <w:rPr>
          <w:b/>
          <w:lang w:val="en-GB"/>
        </w:rPr>
        <w:t xml:space="preserve">form </w:t>
      </w:r>
      <w:r w:rsidRPr="008E781C">
        <w:rPr>
          <w:lang w:val="en-GB"/>
        </w:rPr>
        <w:t>established in Regulation 810/2009.</w:t>
      </w:r>
      <w:r w:rsidRPr="008E781C">
        <w:rPr>
          <w:rStyle w:val="FootnoteReference"/>
          <w:lang w:val="en-GB"/>
        </w:rPr>
        <w:footnoteReference w:id="74"/>
      </w:r>
      <w:r w:rsidR="002D7E77" w:rsidRPr="008E781C">
        <w:rPr>
          <w:lang w:val="en-GB"/>
        </w:rPr>
        <w:t xml:space="preserve"> </w:t>
      </w:r>
    </w:p>
    <w:p w14:paraId="4B8781EA" w14:textId="4CFB69B4" w:rsidR="00A614C5" w:rsidRPr="008E781C" w:rsidRDefault="00A614C5" w:rsidP="00A612C7">
      <w:pPr>
        <w:pStyle w:val="MMultilevel"/>
        <w:numPr>
          <w:ilvl w:val="0"/>
          <w:numId w:val="0"/>
        </w:numPr>
        <w:rPr>
          <w:lang w:val="en-GB"/>
        </w:rPr>
      </w:pPr>
    </w:p>
    <w:p w14:paraId="64130916" w14:textId="0B66BDDD" w:rsidR="00E50F5F" w:rsidRPr="008E781C" w:rsidRDefault="00E50F5F" w:rsidP="00A612C7">
      <w:pPr>
        <w:pStyle w:val="MMultilevel"/>
        <w:numPr>
          <w:ilvl w:val="0"/>
          <w:numId w:val="0"/>
        </w:numPr>
        <w:rPr>
          <w:lang w:val="en-GB"/>
        </w:rPr>
      </w:pPr>
      <w:r w:rsidRPr="008E781C">
        <w:rPr>
          <w:lang w:val="en-GB"/>
        </w:rPr>
        <w:t xml:space="preserve">The </w:t>
      </w:r>
      <w:r w:rsidRPr="008E781C">
        <w:rPr>
          <w:b/>
          <w:lang w:val="en-GB"/>
        </w:rPr>
        <w:t>time-frame</w:t>
      </w:r>
      <w:r w:rsidRPr="008E781C">
        <w:rPr>
          <w:lang w:val="en-GB"/>
        </w:rPr>
        <w:t xml:space="preserve"> for the consulate to </w:t>
      </w:r>
      <w:r w:rsidRPr="008E781C">
        <w:rPr>
          <w:b/>
          <w:lang w:val="en-GB"/>
        </w:rPr>
        <w:t>decide</w:t>
      </w:r>
      <w:r w:rsidRPr="008E781C">
        <w:rPr>
          <w:lang w:val="en-GB"/>
        </w:rPr>
        <w:t xml:space="preserve"> on the </w:t>
      </w:r>
      <w:r w:rsidR="004D6A87" w:rsidRPr="008E781C">
        <w:rPr>
          <w:lang w:val="en-GB"/>
        </w:rPr>
        <w:t xml:space="preserve">visa application is of </w:t>
      </w:r>
      <w:r w:rsidR="004D6A87" w:rsidRPr="008E781C">
        <w:rPr>
          <w:b/>
          <w:lang w:val="en-GB"/>
        </w:rPr>
        <w:t>ten days</w:t>
      </w:r>
      <w:r w:rsidR="00077324" w:rsidRPr="008E781C">
        <w:rPr>
          <w:b/>
          <w:lang w:val="en-GB"/>
        </w:rPr>
        <w:t xml:space="preserve"> from the filing of the application</w:t>
      </w:r>
      <w:r w:rsidR="004D6A87" w:rsidRPr="008E781C">
        <w:rPr>
          <w:lang w:val="en-GB"/>
        </w:rPr>
        <w:t>,</w:t>
      </w:r>
      <w:r w:rsidR="004D6A87" w:rsidRPr="008E781C">
        <w:rPr>
          <w:rStyle w:val="FootnoteReference"/>
          <w:lang w:val="en-GB"/>
        </w:rPr>
        <w:footnoteReference w:id="75"/>
      </w:r>
      <w:r w:rsidR="004D6A87" w:rsidRPr="008E781C">
        <w:rPr>
          <w:lang w:val="en-GB"/>
        </w:rPr>
        <w:t xml:space="preserve"> unless </w:t>
      </w:r>
      <w:r w:rsidR="00140762" w:rsidRPr="008E781C">
        <w:rPr>
          <w:lang w:val="en-GB"/>
        </w:rPr>
        <w:t>it is necessary to consult the c</w:t>
      </w:r>
      <w:r w:rsidR="003D7278" w:rsidRPr="008E781C">
        <w:rPr>
          <w:lang w:val="en-GB"/>
        </w:rPr>
        <w:t xml:space="preserve">entral </w:t>
      </w:r>
      <w:r w:rsidR="00140762" w:rsidRPr="008E781C">
        <w:rPr>
          <w:lang w:val="en-GB"/>
        </w:rPr>
        <w:t xml:space="preserve">authorities of </w:t>
      </w:r>
      <w:r w:rsidR="003D7278" w:rsidRPr="008E781C">
        <w:rPr>
          <w:lang w:val="en-GB"/>
        </w:rPr>
        <w:t>other</w:t>
      </w:r>
      <w:r w:rsidR="00140762" w:rsidRPr="008E781C">
        <w:rPr>
          <w:lang w:val="en-GB"/>
        </w:rPr>
        <w:t xml:space="preserve"> Member State</w:t>
      </w:r>
      <w:r w:rsidR="003D7278" w:rsidRPr="008E781C">
        <w:rPr>
          <w:lang w:val="en-GB"/>
        </w:rPr>
        <w:t xml:space="preserve">s as </w:t>
      </w:r>
      <w:r w:rsidR="00282C80" w:rsidRPr="008E781C">
        <w:rPr>
          <w:lang w:val="en-GB"/>
        </w:rPr>
        <w:t>provided for by</w:t>
      </w:r>
      <w:r w:rsidR="003D7278" w:rsidRPr="008E781C">
        <w:rPr>
          <w:lang w:val="en-GB"/>
        </w:rPr>
        <w:t xml:space="preserve"> Article 22 of Regulation 810/2009.</w:t>
      </w:r>
      <w:r w:rsidR="003D7278" w:rsidRPr="008E781C">
        <w:rPr>
          <w:rStyle w:val="FootnoteReference"/>
          <w:lang w:val="en-GB"/>
        </w:rPr>
        <w:footnoteReference w:id="76"/>
      </w:r>
      <w:r w:rsidR="00951D14" w:rsidRPr="008E781C">
        <w:rPr>
          <w:lang w:val="en-GB"/>
        </w:rPr>
        <w:t xml:space="preserve"> In this case, the authorities of the other Member State must answer the request within seven calendar days.</w:t>
      </w:r>
      <w:r w:rsidR="00951D14" w:rsidRPr="008E781C">
        <w:rPr>
          <w:vertAlign w:val="superscript"/>
          <w:lang w:val="en-GB"/>
        </w:rPr>
        <w:footnoteReference w:id="77"/>
      </w:r>
    </w:p>
    <w:p w14:paraId="3476CF4C" w14:textId="77777777" w:rsidR="00E50F5F" w:rsidRPr="008E781C" w:rsidRDefault="00E50F5F" w:rsidP="00A612C7">
      <w:pPr>
        <w:pStyle w:val="MMultilevel"/>
        <w:numPr>
          <w:ilvl w:val="0"/>
          <w:numId w:val="0"/>
        </w:numPr>
        <w:rPr>
          <w:lang w:val="en-GB"/>
        </w:rPr>
      </w:pPr>
    </w:p>
    <w:p w14:paraId="62014D78" w14:textId="4827E8E8" w:rsidR="002B6280" w:rsidRPr="008E781C" w:rsidRDefault="00A614C5" w:rsidP="005370CE">
      <w:pPr>
        <w:pStyle w:val="MBT"/>
        <w:rPr>
          <w:lang w:val="en-GB"/>
        </w:rPr>
      </w:pPr>
      <w:r w:rsidRPr="008E781C">
        <w:rPr>
          <w:lang w:val="en-GB"/>
        </w:rPr>
        <w:t xml:space="preserve">If the </w:t>
      </w:r>
      <w:r w:rsidRPr="008E781C">
        <w:rPr>
          <w:b/>
          <w:bCs w:val="0"/>
          <w:lang w:val="en-GB"/>
        </w:rPr>
        <w:t>consulate</w:t>
      </w:r>
      <w:r w:rsidR="005520F6" w:rsidRPr="008E781C">
        <w:rPr>
          <w:lang w:val="en-GB"/>
        </w:rPr>
        <w:t xml:space="preserve"> or diplomatic mission</w:t>
      </w:r>
      <w:r w:rsidRPr="008E781C">
        <w:rPr>
          <w:b/>
          <w:bCs w:val="0"/>
          <w:lang w:val="en-GB"/>
        </w:rPr>
        <w:t xml:space="preserve"> </w:t>
      </w:r>
      <w:r w:rsidR="00282C80" w:rsidRPr="008E781C">
        <w:rPr>
          <w:b/>
          <w:bCs w:val="0"/>
          <w:lang w:val="en-GB"/>
        </w:rPr>
        <w:t xml:space="preserve">refuses </w:t>
      </w:r>
      <w:r w:rsidRPr="008E781C">
        <w:rPr>
          <w:b/>
          <w:bCs w:val="0"/>
          <w:lang w:val="en-GB"/>
        </w:rPr>
        <w:t xml:space="preserve">to issue </w:t>
      </w:r>
      <w:r w:rsidR="005520F6" w:rsidRPr="008E781C">
        <w:rPr>
          <w:b/>
          <w:lang w:val="en-GB"/>
        </w:rPr>
        <w:t>the investors’ residence</w:t>
      </w:r>
      <w:r w:rsidRPr="008E781C">
        <w:rPr>
          <w:b/>
          <w:bCs w:val="0"/>
          <w:lang w:val="en-GB"/>
        </w:rPr>
        <w:t xml:space="preserve"> visa</w:t>
      </w:r>
      <w:r w:rsidRPr="008E781C">
        <w:rPr>
          <w:lang w:val="en-GB"/>
        </w:rPr>
        <w:t xml:space="preserve"> on the basis </w:t>
      </w:r>
      <w:r w:rsidR="00282C80" w:rsidRPr="008E781C">
        <w:rPr>
          <w:lang w:val="en-GB"/>
        </w:rPr>
        <w:t xml:space="preserve">that </w:t>
      </w:r>
      <w:r w:rsidRPr="008E781C">
        <w:rPr>
          <w:lang w:val="en-GB"/>
        </w:rPr>
        <w:t>the legal requirements</w:t>
      </w:r>
      <w:r w:rsidR="00282C80" w:rsidRPr="008E781C">
        <w:rPr>
          <w:lang w:val="en-GB"/>
        </w:rPr>
        <w:t xml:space="preserve"> are not met</w:t>
      </w:r>
      <w:r w:rsidRPr="008E781C">
        <w:rPr>
          <w:lang w:val="en-GB"/>
        </w:rPr>
        <w:t xml:space="preserve">, the decision </w:t>
      </w:r>
      <w:r w:rsidR="00282C80" w:rsidRPr="008E781C">
        <w:rPr>
          <w:lang w:val="en-GB"/>
        </w:rPr>
        <w:t>is</w:t>
      </w:r>
      <w:r w:rsidRPr="008E781C">
        <w:rPr>
          <w:lang w:val="en-GB"/>
        </w:rPr>
        <w:t xml:space="preserve"> </w:t>
      </w:r>
      <w:r w:rsidRPr="008E781C">
        <w:rPr>
          <w:b/>
          <w:bCs w:val="0"/>
          <w:lang w:val="en-GB"/>
        </w:rPr>
        <w:t>notified through a standardised handout</w:t>
      </w:r>
      <w:r w:rsidRPr="008E781C">
        <w:rPr>
          <w:lang w:val="en-GB"/>
        </w:rPr>
        <w:t xml:space="preserve"> as set in Regulation 810/2009, </w:t>
      </w:r>
      <w:r w:rsidRPr="008E781C">
        <w:rPr>
          <w:b/>
          <w:bCs w:val="0"/>
          <w:lang w:val="en-GB"/>
        </w:rPr>
        <w:t>indicating the possibility to</w:t>
      </w:r>
      <w:r w:rsidRPr="008E781C">
        <w:rPr>
          <w:lang w:val="en-GB"/>
        </w:rPr>
        <w:t xml:space="preserve"> challenge such decision in </w:t>
      </w:r>
      <w:r w:rsidRPr="008E781C">
        <w:rPr>
          <w:b/>
          <w:bCs w:val="0"/>
          <w:lang w:val="en-GB"/>
        </w:rPr>
        <w:t>appeal</w:t>
      </w:r>
      <w:r w:rsidRPr="008E781C">
        <w:rPr>
          <w:lang w:val="en-GB"/>
        </w:rPr>
        <w:t xml:space="preserve">, the </w:t>
      </w:r>
      <w:r w:rsidRPr="008E781C">
        <w:rPr>
          <w:b/>
          <w:bCs w:val="0"/>
          <w:lang w:val="en-GB"/>
        </w:rPr>
        <w:t>term</w:t>
      </w:r>
      <w:r w:rsidRPr="008E781C">
        <w:rPr>
          <w:lang w:val="en-GB"/>
        </w:rPr>
        <w:t xml:space="preserve"> to file the appeal and the </w:t>
      </w:r>
      <w:r w:rsidRPr="008E781C">
        <w:rPr>
          <w:b/>
          <w:bCs w:val="0"/>
          <w:lang w:val="en-GB"/>
        </w:rPr>
        <w:t>competent authority</w:t>
      </w:r>
      <w:r w:rsidRPr="008E781C">
        <w:rPr>
          <w:lang w:val="en-GB"/>
        </w:rPr>
        <w:t xml:space="preserve"> </w:t>
      </w:r>
      <w:r w:rsidR="00282C80" w:rsidRPr="008E781C">
        <w:rPr>
          <w:lang w:val="en-GB"/>
        </w:rPr>
        <w:t>with which to file</w:t>
      </w:r>
      <w:r w:rsidRPr="008E781C">
        <w:rPr>
          <w:lang w:val="en-GB"/>
        </w:rPr>
        <w:t xml:space="preserve"> such appeal.</w:t>
      </w:r>
      <w:r w:rsidRPr="008E781C">
        <w:rPr>
          <w:rStyle w:val="FootnoteReference"/>
          <w:lang w:val="en-GB"/>
        </w:rPr>
        <w:footnoteReference w:id="78"/>
      </w:r>
      <w:r w:rsidR="002038A3" w:rsidRPr="008E781C">
        <w:rPr>
          <w:lang w:val="en-GB"/>
        </w:rPr>
        <w:t xml:space="preserve"> </w:t>
      </w:r>
      <w:r w:rsidR="00BC563C" w:rsidRPr="008E781C">
        <w:rPr>
          <w:lang w:val="en-GB"/>
        </w:rPr>
        <w:t>Appeals are explained below in this Section.</w:t>
      </w:r>
    </w:p>
    <w:p w14:paraId="68F4DA25" w14:textId="77777777" w:rsidR="002B6280" w:rsidRPr="008E781C" w:rsidRDefault="002B6280" w:rsidP="005370CE">
      <w:pPr>
        <w:pStyle w:val="MBT"/>
        <w:rPr>
          <w:lang w:val="en-GB"/>
        </w:rPr>
      </w:pPr>
    </w:p>
    <w:p w14:paraId="261B97A5" w14:textId="38CB020D" w:rsidR="00942F90" w:rsidRPr="008E781C" w:rsidRDefault="00A614C5" w:rsidP="00A612C7">
      <w:pPr>
        <w:pStyle w:val="MMultilevel"/>
        <w:numPr>
          <w:ilvl w:val="0"/>
          <w:numId w:val="0"/>
        </w:numPr>
        <w:rPr>
          <w:lang w:val="en-GB"/>
        </w:rPr>
      </w:pPr>
      <w:r w:rsidRPr="008E781C">
        <w:rPr>
          <w:lang w:val="en-GB"/>
        </w:rPr>
        <w:t>Should the consulate</w:t>
      </w:r>
      <w:r w:rsidR="005520F6" w:rsidRPr="008E781C">
        <w:rPr>
          <w:lang w:val="en-GB"/>
        </w:rPr>
        <w:t xml:space="preserve"> (or diplomatic mission)</w:t>
      </w:r>
      <w:r w:rsidRPr="008E781C">
        <w:rPr>
          <w:lang w:val="en-GB"/>
        </w:rPr>
        <w:t xml:space="preserve"> </w:t>
      </w:r>
      <w:r w:rsidRPr="008E781C">
        <w:rPr>
          <w:b/>
          <w:lang w:val="en-GB"/>
        </w:rPr>
        <w:t xml:space="preserve">decide to issue the </w:t>
      </w:r>
      <w:r w:rsidR="005520F6" w:rsidRPr="008E781C">
        <w:rPr>
          <w:b/>
          <w:lang w:val="en-GB"/>
        </w:rPr>
        <w:t xml:space="preserve">investors’ residence </w:t>
      </w:r>
      <w:r w:rsidRPr="008E781C">
        <w:rPr>
          <w:b/>
          <w:lang w:val="en-GB"/>
        </w:rPr>
        <w:t>visa</w:t>
      </w:r>
      <w:r w:rsidRPr="008E781C">
        <w:rPr>
          <w:lang w:val="en-GB"/>
        </w:rPr>
        <w:t>,</w:t>
      </w:r>
      <w:r w:rsidR="00C20521" w:rsidRPr="008E781C">
        <w:rPr>
          <w:lang w:val="en-GB"/>
        </w:rPr>
        <w:t xml:space="preserve"> </w:t>
      </w:r>
      <w:r w:rsidR="005520F6" w:rsidRPr="008E781C">
        <w:rPr>
          <w:lang w:val="en-GB"/>
        </w:rPr>
        <w:t>it will do so</w:t>
      </w:r>
      <w:r w:rsidR="00C20521" w:rsidRPr="008E781C">
        <w:rPr>
          <w:lang w:val="en-GB"/>
        </w:rPr>
        <w:t xml:space="preserve"> following the </w:t>
      </w:r>
      <w:r w:rsidR="00C20521" w:rsidRPr="008E781C">
        <w:rPr>
          <w:b/>
          <w:lang w:val="en-GB"/>
        </w:rPr>
        <w:t>uniform format</w:t>
      </w:r>
      <w:r w:rsidR="00C20521" w:rsidRPr="008E781C">
        <w:rPr>
          <w:lang w:val="en-GB"/>
        </w:rPr>
        <w:t xml:space="preserve"> set out in Council Regulation (EC) No 1683/95</w:t>
      </w:r>
      <w:r w:rsidR="00C20521" w:rsidRPr="008E781C">
        <w:rPr>
          <w:vertAlign w:val="superscript"/>
          <w:lang w:val="en-GB"/>
        </w:rPr>
        <w:footnoteReference w:id="79"/>
      </w:r>
      <w:r w:rsidR="00C20521" w:rsidRPr="008E781C">
        <w:rPr>
          <w:lang w:val="en-GB"/>
        </w:rPr>
        <w:t xml:space="preserve"> with the heading specifying the type of visa with </w:t>
      </w:r>
      <w:r w:rsidR="00C20521" w:rsidRPr="008E781C">
        <w:rPr>
          <w:b/>
          <w:lang w:val="en-GB"/>
        </w:rPr>
        <w:t>the letter “D</w:t>
      </w:r>
      <w:r w:rsidR="00C20521" w:rsidRPr="008E781C">
        <w:rPr>
          <w:lang w:val="en-GB"/>
        </w:rPr>
        <w:t>”.</w:t>
      </w:r>
      <w:r w:rsidR="00C20521" w:rsidRPr="008E781C">
        <w:rPr>
          <w:vertAlign w:val="superscript"/>
          <w:lang w:val="en-GB"/>
        </w:rPr>
        <w:footnoteReference w:id="80"/>
      </w:r>
      <w:r w:rsidR="00C20521" w:rsidRPr="008E781C">
        <w:rPr>
          <w:lang w:val="en-GB"/>
        </w:rPr>
        <w:t xml:space="preserve"> </w:t>
      </w:r>
      <w:r w:rsidR="00942F90" w:rsidRPr="008E781C">
        <w:rPr>
          <w:lang w:val="en-GB"/>
        </w:rPr>
        <w:t xml:space="preserve">The foreigner </w:t>
      </w:r>
      <w:r w:rsidR="00A051F2" w:rsidRPr="008E781C">
        <w:rPr>
          <w:lang w:val="en-GB"/>
        </w:rPr>
        <w:t xml:space="preserve">must </w:t>
      </w:r>
      <w:r w:rsidR="00942F90" w:rsidRPr="008E781C">
        <w:rPr>
          <w:b/>
          <w:lang w:val="en-GB"/>
        </w:rPr>
        <w:t>pick it up within the month after the decision</w:t>
      </w:r>
      <w:r w:rsidR="00942F90" w:rsidRPr="008E781C">
        <w:rPr>
          <w:lang w:val="en-GB"/>
        </w:rPr>
        <w:t xml:space="preserve"> of the consulate has been </w:t>
      </w:r>
      <w:r w:rsidR="00942F90" w:rsidRPr="008E781C">
        <w:rPr>
          <w:b/>
          <w:lang w:val="en-GB"/>
        </w:rPr>
        <w:t>notified</w:t>
      </w:r>
      <w:r w:rsidR="00942F90" w:rsidRPr="008E781C">
        <w:rPr>
          <w:lang w:val="en-GB"/>
        </w:rPr>
        <w:t xml:space="preserve">, either </w:t>
      </w:r>
      <w:r w:rsidR="00942F90" w:rsidRPr="008E781C">
        <w:rPr>
          <w:b/>
          <w:lang w:val="en-GB"/>
        </w:rPr>
        <w:t>personally</w:t>
      </w:r>
      <w:r w:rsidR="00942F90" w:rsidRPr="008E781C">
        <w:rPr>
          <w:lang w:val="en-GB"/>
        </w:rPr>
        <w:t xml:space="preserve"> or </w:t>
      </w:r>
      <w:r w:rsidR="00A051F2" w:rsidRPr="008E781C">
        <w:rPr>
          <w:lang w:val="en-GB"/>
        </w:rPr>
        <w:t xml:space="preserve">through </w:t>
      </w:r>
      <w:r w:rsidR="00942F90" w:rsidRPr="008E781C">
        <w:rPr>
          <w:lang w:val="en-GB"/>
        </w:rPr>
        <w:t>a</w:t>
      </w:r>
      <w:r w:rsidR="00A051F2" w:rsidRPr="008E781C">
        <w:rPr>
          <w:lang w:val="en-GB"/>
        </w:rPr>
        <w:t xml:space="preserve"> duly authorised</w:t>
      </w:r>
      <w:r w:rsidR="00942F90" w:rsidRPr="008E781C">
        <w:rPr>
          <w:lang w:val="en-GB"/>
        </w:rPr>
        <w:t xml:space="preserve"> </w:t>
      </w:r>
      <w:r w:rsidR="00942F90" w:rsidRPr="008E781C">
        <w:rPr>
          <w:b/>
          <w:lang w:val="en-GB"/>
        </w:rPr>
        <w:t>representative</w:t>
      </w:r>
      <w:r w:rsidR="00942F90" w:rsidRPr="008E781C">
        <w:rPr>
          <w:lang w:val="en-GB"/>
        </w:rPr>
        <w:t xml:space="preserve">. If the visa is not </w:t>
      </w:r>
      <w:r w:rsidR="00A051F2" w:rsidRPr="008E781C">
        <w:rPr>
          <w:lang w:val="en-GB"/>
        </w:rPr>
        <w:t xml:space="preserve">collected </w:t>
      </w:r>
      <w:r w:rsidR="00942F90" w:rsidRPr="008E781C">
        <w:rPr>
          <w:lang w:val="en-GB"/>
        </w:rPr>
        <w:t xml:space="preserve">in this term, it </w:t>
      </w:r>
      <w:r w:rsidR="00A051F2" w:rsidRPr="008E781C">
        <w:rPr>
          <w:lang w:val="en-GB"/>
        </w:rPr>
        <w:t>is</w:t>
      </w:r>
      <w:r w:rsidR="00942F90" w:rsidRPr="008E781C">
        <w:rPr>
          <w:lang w:val="en-GB"/>
        </w:rPr>
        <w:t xml:space="preserve"> deemed that the </w:t>
      </w:r>
      <w:r w:rsidR="00942F90" w:rsidRPr="008E781C">
        <w:rPr>
          <w:b/>
          <w:lang w:val="en-GB"/>
        </w:rPr>
        <w:t>foreigner renounces</w:t>
      </w:r>
      <w:r w:rsidR="00942F90" w:rsidRPr="008E781C">
        <w:rPr>
          <w:lang w:val="en-GB"/>
        </w:rPr>
        <w:t xml:space="preserve"> the stay visa and the case-file </w:t>
      </w:r>
      <w:r w:rsidR="00A051F2" w:rsidRPr="008E781C">
        <w:rPr>
          <w:lang w:val="en-GB"/>
        </w:rPr>
        <w:t>is</w:t>
      </w:r>
      <w:r w:rsidR="00942F90" w:rsidRPr="008E781C">
        <w:rPr>
          <w:lang w:val="en-GB"/>
        </w:rPr>
        <w:t xml:space="preserve"> archived.</w:t>
      </w:r>
      <w:r w:rsidR="00942F90" w:rsidRPr="008E781C">
        <w:rPr>
          <w:rStyle w:val="FootnoteReference"/>
          <w:lang w:val="en-GB"/>
        </w:rPr>
        <w:footnoteReference w:id="81"/>
      </w:r>
    </w:p>
    <w:p w14:paraId="7CF05589" w14:textId="77777777" w:rsidR="00942F90" w:rsidRPr="008E781C" w:rsidRDefault="00942F90" w:rsidP="00A612C7">
      <w:pPr>
        <w:pStyle w:val="MMultilevel"/>
        <w:numPr>
          <w:ilvl w:val="0"/>
          <w:numId w:val="0"/>
        </w:numPr>
        <w:rPr>
          <w:lang w:val="en-GB"/>
        </w:rPr>
      </w:pPr>
    </w:p>
    <w:p w14:paraId="7D2EF848" w14:textId="1A7FC397" w:rsidR="00A614C5" w:rsidRPr="008E781C" w:rsidRDefault="005520F6" w:rsidP="00A612C7">
      <w:pPr>
        <w:pStyle w:val="MMultilevel"/>
        <w:numPr>
          <w:ilvl w:val="0"/>
          <w:numId w:val="0"/>
        </w:numPr>
        <w:rPr>
          <w:lang w:val="en-GB"/>
        </w:rPr>
      </w:pPr>
      <w:r w:rsidRPr="008E781C">
        <w:rPr>
          <w:lang w:val="en-GB"/>
        </w:rPr>
        <w:t xml:space="preserve">The investors’ residence visa has a </w:t>
      </w:r>
      <w:r w:rsidRPr="008E781C">
        <w:rPr>
          <w:b/>
          <w:lang w:val="en-GB"/>
        </w:rPr>
        <w:t>duration</w:t>
      </w:r>
      <w:r w:rsidRPr="008E781C">
        <w:rPr>
          <w:lang w:val="en-GB"/>
        </w:rPr>
        <w:t xml:space="preserve"> of </w:t>
      </w:r>
      <w:r w:rsidRPr="008E781C">
        <w:rPr>
          <w:b/>
          <w:lang w:val="en-GB"/>
        </w:rPr>
        <w:t>one year</w:t>
      </w:r>
      <w:r w:rsidR="00942F90" w:rsidRPr="008E781C">
        <w:rPr>
          <w:lang w:val="en-GB"/>
        </w:rPr>
        <w:t>,</w:t>
      </w:r>
      <w:r w:rsidRPr="008E781C">
        <w:rPr>
          <w:rStyle w:val="FootnoteReference"/>
          <w:lang w:val="en-GB"/>
        </w:rPr>
        <w:footnoteReference w:id="82"/>
      </w:r>
      <w:r w:rsidRPr="008E781C">
        <w:rPr>
          <w:lang w:val="en-GB"/>
        </w:rPr>
        <w:t xml:space="preserve"> save for</w:t>
      </w:r>
      <w:r w:rsidRPr="008E781C">
        <w:rPr>
          <w:b/>
          <w:lang w:val="en-GB"/>
        </w:rPr>
        <w:t xml:space="preserve"> </w:t>
      </w:r>
      <w:r w:rsidRPr="008E781C">
        <w:rPr>
          <w:lang w:val="en-GB"/>
        </w:rPr>
        <w:t xml:space="preserve">the case where the investment made is the acquisition of real state and the purchase has not been formalised yet, when the duration will be of </w:t>
      </w:r>
      <w:r w:rsidRPr="008E781C">
        <w:rPr>
          <w:b/>
          <w:lang w:val="en-GB"/>
        </w:rPr>
        <w:t xml:space="preserve">six months </w:t>
      </w:r>
      <w:r w:rsidRPr="008E781C">
        <w:rPr>
          <w:lang w:val="en-GB"/>
        </w:rPr>
        <w:t>instead (see Section II.2 and 3 of this Report)</w:t>
      </w:r>
      <w:r w:rsidR="00942F90" w:rsidRPr="008E781C">
        <w:rPr>
          <w:lang w:val="en-GB"/>
        </w:rPr>
        <w:t>.</w:t>
      </w:r>
      <w:r w:rsidRPr="008E781C">
        <w:rPr>
          <w:rStyle w:val="FootnoteReference"/>
          <w:lang w:val="en-GB"/>
        </w:rPr>
        <w:footnoteReference w:id="83"/>
      </w:r>
      <w:r w:rsidRPr="008E781C">
        <w:rPr>
          <w:lang w:val="en-GB"/>
        </w:rPr>
        <w:t xml:space="preserve"> The </w:t>
      </w:r>
      <w:r w:rsidRPr="008E781C">
        <w:rPr>
          <w:b/>
          <w:lang w:val="en-GB"/>
        </w:rPr>
        <w:t xml:space="preserve">investors’ residence visa </w:t>
      </w:r>
      <w:r w:rsidRPr="008E781C">
        <w:rPr>
          <w:lang w:val="en-GB"/>
        </w:rPr>
        <w:t xml:space="preserve">entitles the holder of the visa to </w:t>
      </w:r>
      <w:r w:rsidRPr="008E781C">
        <w:rPr>
          <w:b/>
          <w:lang w:val="en-GB"/>
        </w:rPr>
        <w:t>reside and work</w:t>
      </w:r>
      <w:r w:rsidRPr="008E781C">
        <w:rPr>
          <w:lang w:val="en-GB"/>
        </w:rPr>
        <w:t>.</w:t>
      </w:r>
      <w:r w:rsidRPr="008E781C">
        <w:rPr>
          <w:rStyle w:val="FootnoteReference"/>
          <w:lang w:val="en-GB"/>
        </w:rPr>
        <w:footnoteReference w:id="84"/>
      </w:r>
      <w:r w:rsidRPr="008E781C">
        <w:rPr>
          <w:lang w:val="en-GB"/>
        </w:rPr>
        <w:t xml:space="preserve"> </w:t>
      </w:r>
    </w:p>
    <w:p w14:paraId="0008376C" w14:textId="77777777" w:rsidR="00951D14" w:rsidRPr="008E781C" w:rsidRDefault="00951D14" w:rsidP="00951D14">
      <w:pPr>
        <w:pStyle w:val="MMultilevel"/>
        <w:numPr>
          <w:ilvl w:val="0"/>
          <w:numId w:val="0"/>
        </w:numPr>
        <w:rPr>
          <w:lang w:val="en-GB"/>
        </w:rPr>
      </w:pPr>
    </w:p>
    <w:p w14:paraId="6E11B61F" w14:textId="3AAD6830" w:rsidR="0065740A" w:rsidRPr="008E781C" w:rsidRDefault="0065740A" w:rsidP="00993F70">
      <w:pPr>
        <w:pStyle w:val="MMultilevel"/>
        <w:numPr>
          <w:ilvl w:val="0"/>
          <w:numId w:val="0"/>
        </w:numPr>
        <w:rPr>
          <w:lang w:val="en-GB"/>
        </w:rPr>
      </w:pPr>
      <w:r w:rsidRPr="008E781C">
        <w:rPr>
          <w:lang w:val="en-GB"/>
        </w:rPr>
        <w:t>Once the investor has entered the Spanish territory and is holding a visa (whether a stay or an investors’ residence visa)</w:t>
      </w:r>
      <w:r w:rsidR="00942F90" w:rsidRPr="008E781C">
        <w:rPr>
          <w:lang w:val="en-GB"/>
        </w:rPr>
        <w:t>,</w:t>
      </w:r>
      <w:r w:rsidRPr="008E781C">
        <w:rPr>
          <w:lang w:val="en-GB"/>
        </w:rPr>
        <w:t xml:space="preserve"> s/he </w:t>
      </w:r>
      <w:r w:rsidR="005520F6" w:rsidRPr="008E781C">
        <w:rPr>
          <w:lang w:val="en-GB"/>
        </w:rPr>
        <w:t>can</w:t>
      </w:r>
      <w:r w:rsidRPr="008E781C">
        <w:rPr>
          <w:lang w:val="en-GB"/>
        </w:rPr>
        <w:t xml:space="preserve"> apply for a </w:t>
      </w:r>
      <w:r w:rsidRPr="008E781C">
        <w:rPr>
          <w:b/>
          <w:lang w:val="en-GB"/>
        </w:rPr>
        <w:t>residence authorisation for investors</w:t>
      </w:r>
      <w:r w:rsidRPr="008E781C">
        <w:rPr>
          <w:lang w:val="en-GB"/>
        </w:rPr>
        <w:t>.</w:t>
      </w:r>
    </w:p>
    <w:p w14:paraId="01EEA1DA" w14:textId="77777777" w:rsidR="0065740A" w:rsidRPr="008E781C" w:rsidRDefault="0065740A" w:rsidP="00993F70">
      <w:pPr>
        <w:pStyle w:val="MMultilevel"/>
        <w:numPr>
          <w:ilvl w:val="0"/>
          <w:numId w:val="0"/>
        </w:numPr>
        <w:rPr>
          <w:lang w:val="en-GB"/>
        </w:rPr>
      </w:pPr>
    </w:p>
    <w:p w14:paraId="55B37BC7" w14:textId="247908C4" w:rsidR="0065740A" w:rsidRPr="008E781C" w:rsidRDefault="0065740A" w:rsidP="00993F70">
      <w:pPr>
        <w:pStyle w:val="MMultilevel"/>
        <w:numPr>
          <w:ilvl w:val="0"/>
          <w:numId w:val="0"/>
        </w:numPr>
        <w:rPr>
          <w:b/>
          <w:i/>
          <w:lang w:val="en-GB"/>
        </w:rPr>
      </w:pPr>
      <w:r w:rsidRPr="008E781C">
        <w:rPr>
          <w:b/>
          <w:i/>
          <w:lang w:val="en-GB"/>
        </w:rPr>
        <w:t xml:space="preserve">Procedure </w:t>
      </w:r>
      <w:r w:rsidR="00BD2FFE" w:rsidRPr="008E781C">
        <w:rPr>
          <w:b/>
          <w:i/>
          <w:lang w:val="en-GB"/>
        </w:rPr>
        <w:t>for</w:t>
      </w:r>
      <w:r w:rsidRPr="008E781C">
        <w:rPr>
          <w:b/>
          <w:i/>
          <w:lang w:val="en-GB"/>
        </w:rPr>
        <w:t xml:space="preserve"> a residence authorisation for investors</w:t>
      </w:r>
    </w:p>
    <w:p w14:paraId="5F5387AE" w14:textId="77777777" w:rsidR="00C44BF2" w:rsidRPr="008E781C" w:rsidRDefault="00C44BF2" w:rsidP="00993F70">
      <w:pPr>
        <w:pStyle w:val="MMultilevel"/>
        <w:numPr>
          <w:ilvl w:val="0"/>
          <w:numId w:val="0"/>
        </w:numPr>
        <w:rPr>
          <w:lang w:val="en-GB"/>
        </w:rPr>
      </w:pPr>
      <w:r w:rsidRPr="008E781C">
        <w:rPr>
          <w:lang w:val="en-GB"/>
        </w:rPr>
        <w:lastRenderedPageBreak/>
        <w:t>This procedure to request a residence authorisation for investors must be processed following Directive 2011/98/EU (Single Permit Directive).</w:t>
      </w:r>
      <w:r w:rsidRPr="008E781C">
        <w:rPr>
          <w:rStyle w:val="FootnoteReference"/>
          <w:lang w:val="en-GB"/>
        </w:rPr>
        <w:footnoteReference w:id="85"/>
      </w:r>
      <w:r w:rsidRPr="008E781C">
        <w:rPr>
          <w:lang w:val="en-GB"/>
        </w:rPr>
        <w:t xml:space="preserve"> </w:t>
      </w:r>
    </w:p>
    <w:p w14:paraId="7FD6CBE5" w14:textId="77777777" w:rsidR="00C44BF2" w:rsidRPr="008E781C" w:rsidRDefault="00C44BF2" w:rsidP="00993F70">
      <w:pPr>
        <w:pStyle w:val="MMultilevel"/>
        <w:numPr>
          <w:ilvl w:val="0"/>
          <w:numId w:val="0"/>
        </w:numPr>
        <w:rPr>
          <w:lang w:val="en-GB"/>
        </w:rPr>
      </w:pPr>
    </w:p>
    <w:p w14:paraId="461F708C" w14:textId="1FBCA8C5" w:rsidR="00993F70" w:rsidRPr="008E781C" w:rsidRDefault="00993F70" w:rsidP="00993F70">
      <w:pPr>
        <w:pStyle w:val="MMultilevel"/>
        <w:numPr>
          <w:ilvl w:val="0"/>
          <w:numId w:val="0"/>
        </w:numPr>
        <w:rPr>
          <w:lang w:val="en-GB"/>
        </w:rPr>
      </w:pPr>
      <w:r w:rsidRPr="008E781C">
        <w:rPr>
          <w:lang w:val="en-GB"/>
        </w:rPr>
        <w:t>T</w:t>
      </w:r>
      <w:r w:rsidR="00FF7532" w:rsidRPr="008E781C">
        <w:rPr>
          <w:lang w:val="en-GB"/>
        </w:rPr>
        <w:t xml:space="preserve">o obtain an investors’ residence authorisation, the applicant must fulfil </w:t>
      </w:r>
      <w:r w:rsidR="00951D14" w:rsidRPr="008E781C">
        <w:rPr>
          <w:b/>
          <w:bCs w:val="0"/>
          <w:lang w:val="en-GB"/>
        </w:rPr>
        <w:t>all</w:t>
      </w:r>
      <w:r w:rsidR="00951D14" w:rsidRPr="008E781C">
        <w:rPr>
          <w:lang w:val="en-GB"/>
        </w:rPr>
        <w:t xml:space="preserve"> of </w:t>
      </w:r>
      <w:r w:rsidR="00FF7532" w:rsidRPr="008E781C">
        <w:rPr>
          <w:bCs w:val="0"/>
          <w:lang w:val="en-GB"/>
        </w:rPr>
        <w:t>the</w:t>
      </w:r>
      <w:r w:rsidR="00FF7532" w:rsidRPr="008E781C">
        <w:rPr>
          <w:lang w:val="en-GB"/>
        </w:rPr>
        <w:t xml:space="preserve"> </w:t>
      </w:r>
      <w:r w:rsidR="0058699C" w:rsidRPr="008E781C">
        <w:rPr>
          <w:lang w:val="en-GB"/>
        </w:rPr>
        <w:t>general requirements</w:t>
      </w:r>
      <w:r w:rsidR="00951D14" w:rsidRPr="008E781C">
        <w:rPr>
          <w:lang w:val="en-GB"/>
        </w:rPr>
        <w:t xml:space="preserve"> applicable to all</w:t>
      </w:r>
      <w:r w:rsidR="0058699C" w:rsidRPr="008E781C">
        <w:rPr>
          <w:lang w:val="en-GB"/>
        </w:rPr>
        <w:t xml:space="preserve"> </w:t>
      </w:r>
      <w:r w:rsidR="00951D14" w:rsidRPr="008E781C">
        <w:rPr>
          <w:lang w:val="en-GB"/>
        </w:rPr>
        <w:t>t</w:t>
      </w:r>
      <w:r w:rsidR="00E800BB" w:rsidRPr="008E781C">
        <w:rPr>
          <w:lang w:val="en-GB"/>
        </w:rPr>
        <w:t xml:space="preserve">hird-country nationals who wish to enter the Spanish territory and </w:t>
      </w:r>
      <w:r w:rsidR="007019D6" w:rsidRPr="008E781C">
        <w:rPr>
          <w:lang w:val="en-GB"/>
        </w:rPr>
        <w:t xml:space="preserve">who have applied for a residence </w:t>
      </w:r>
      <w:r w:rsidR="00942F90" w:rsidRPr="008E781C">
        <w:rPr>
          <w:lang w:val="en-GB"/>
        </w:rPr>
        <w:t>permit</w:t>
      </w:r>
      <w:r w:rsidR="00E800BB" w:rsidRPr="008E781C">
        <w:rPr>
          <w:lang w:val="en-GB"/>
        </w:rPr>
        <w:t xml:space="preserve"> under Section II, Title V of Law 14/2013</w:t>
      </w:r>
      <w:r w:rsidR="00942F90" w:rsidRPr="008E781C">
        <w:rPr>
          <w:lang w:val="en-GB"/>
        </w:rPr>
        <w:t>.</w:t>
      </w:r>
      <w:r w:rsidR="00E800BB" w:rsidRPr="008E781C">
        <w:rPr>
          <w:rStyle w:val="FootnoteReference"/>
          <w:lang w:val="en-GB"/>
        </w:rPr>
        <w:footnoteReference w:id="86"/>
      </w:r>
      <w:r w:rsidR="00942F90" w:rsidRPr="008E781C">
        <w:rPr>
          <w:lang w:val="en-GB"/>
        </w:rPr>
        <w:t xml:space="preserve"> These general requirements are:</w:t>
      </w:r>
      <w:r w:rsidRPr="008E781C">
        <w:rPr>
          <w:rStyle w:val="FootnoteReference"/>
          <w:lang w:val="en-GB"/>
        </w:rPr>
        <w:footnoteReference w:id="87"/>
      </w:r>
    </w:p>
    <w:p w14:paraId="6ED8B125" w14:textId="52EE47B1" w:rsidR="00993F70" w:rsidRPr="008E781C" w:rsidRDefault="00E800BB" w:rsidP="00AB1C99">
      <w:pPr>
        <w:pStyle w:val="MMultilevel"/>
        <w:numPr>
          <w:ilvl w:val="0"/>
          <w:numId w:val="25"/>
        </w:numPr>
        <w:ind w:left="364"/>
        <w:rPr>
          <w:lang w:val="en-GB"/>
        </w:rPr>
      </w:pPr>
      <w:r w:rsidRPr="008E781C">
        <w:rPr>
          <w:b/>
          <w:lang w:val="en-GB"/>
        </w:rPr>
        <w:t>Not</w:t>
      </w:r>
      <w:r w:rsidRPr="008E781C">
        <w:rPr>
          <w:lang w:val="en-GB"/>
        </w:rPr>
        <w:t xml:space="preserve"> to</w:t>
      </w:r>
      <w:r w:rsidR="00993F70" w:rsidRPr="008E781C">
        <w:rPr>
          <w:lang w:val="en-GB"/>
        </w:rPr>
        <w:t xml:space="preserve"> be </w:t>
      </w:r>
      <w:r w:rsidR="00993F70" w:rsidRPr="008E781C">
        <w:rPr>
          <w:b/>
          <w:lang w:val="en-GB"/>
        </w:rPr>
        <w:t>illegally</w:t>
      </w:r>
      <w:r w:rsidR="00993F70" w:rsidRPr="008E781C">
        <w:rPr>
          <w:lang w:val="en-GB"/>
        </w:rPr>
        <w:t xml:space="preserve"> in </w:t>
      </w:r>
      <w:r w:rsidR="00993F70" w:rsidRPr="008E781C">
        <w:rPr>
          <w:b/>
          <w:lang w:val="en-GB"/>
        </w:rPr>
        <w:t>Spanish territory</w:t>
      </w:r>
      <w:r w:rsidR="00BD3D80" w:rsidRPr="008E781C">
        <w:rPr>
          <w:rStyle w:val="FootnoteReference"/>
          <w:lang w:val="en-GB"/>
        </w:rPr>
        <w:footnoteReference w:id="88"/>
      </w:r>
    </w:p>
    <w:p w14:paraId="0A10D93F" w14:textId="5F1A7F84" w:rsidR="00993F70" w:rsidRPr="008E781C" w:rsidRDefault="007019D6" w:rsidP="00AB1C99">
      <w:pPr>
        <w:pStyle w:val="MMultilevel"/>
        <w:numPr>
          <w:ilvl w:val="0"/>
          <w:numId w:val="25"/>
        </w:numPr>
        <w:ind w:left="364"/>
        <w:rPr>
          <w:lang w:val="en-GB"/>
        </w:rPr>
      </w:pPr>
      <w:r w:rsidRPr="008E781C">
        <w:rPr>
          <w:lang w:val="en-GB"/>
        </w:rPr>
        <w:t xml:space="preserve">To be </w:t>
      </w:r>
      <w:r w:rsidR="00A051F2" w:rsidRPr="008E781C">
        <w:rPr>
          <w:b/>
          <w:lang w:val="en-GB"/>
        </w:rPr>
        <w:t>at least</w:t>
      </w:r>
      <w:r w:rsidR="00A051F2" w:rsidRPr="008E781C">
        <w:rPr>
          <w:lang w:val="en-GB"/>
        </w:rPr>
        <w:t xml:space="preserve"> </w:t>
      </w:r>
      <w:r w:rsidR="00993F70" w:rsidRPr="008E781C">
        <w:rPr>
          <w:b/>
          <w:lang w:val="en-GB"/>
        </w:rPr>
        <w:t xml:space="preserve">18 years old </w:t>
      </w:r>
    </w:p>
    <w:p w14:paraId="436B02A7" w14:textId="167292EF" w:rsidR="00993F70" w:rsidRPr="008E781C" w:rsidRDefault="00DF368C" w:rsidP="00AB1C99">
      <w:pPr>
        <w:pStyle w:val="MMultilevel"/>
        <w:numPr>
          <w:ilvl w:val="0"/>
          <w:numId w:val="25"/>
        </w:numPr>
        <w:ind w:left="364"/>
        <w:rPr>
          <w:lang w:val="en-GB"/>
        </w:rPr>
      </w:pPr>
      <w:bookmarkStart w:id="13" w:name="_Hlk517004958"/>
      <w:r w:rsidRPr="008E781C">
        <w:rPr>
          <w:b/>
          <w:lang w:val="en-GB"/>
        </w:rPr>
        <w:t>Not to</w:t>
      </w:r>
      <w:r w:rsidR="00993F70" w:rsidRPr="008E781C">
        <w:rPr>
          <w:b/>
          <w:lang w:val="en-GB"/>
        </w:rPr>
        <w:t xml:space="preserve"> have </w:t>
      </w:r>
      <w:r w:rsidR="003B6D6F" w:rsidRPr="008E781C">
        <w:rPr>
          <w:b/>
          <w:lang w:val="en-GB"/>
        </w:rPr>
        <w:t xml:space="preserve">a </w:t>
      </w:r>
      <w:r w:rsidR="00993F70" w:rsidRPr="008E781C">
        <w:rPr>
          <w:b/>
          <w:lang w:val="en-GB"/>
        </w:rPr>
        <w:t>criminal record</w:t>
      </w:r>
      <w:r w:rsidR="00993F70" w:rsidRPr="008E781C">
        <w:rPr>
          <w:lang w:val="en-GB"/>
        </w:rPr>
        <w:t xml:space="preserve"> in Spain and in the countries where the person has </w:t>
      </w:r>
      <w:r w:rsidR="00A0777B" w:rsidRPr="008E781C">
        <w:rPr>
          <w:lang w:val="en-GB"/>
        </w:rPr>
        <w:t xml:space="preserve">had </w:t>
      </w:r>
      <w:r w:rsidR="00993F70" w:rsidRPr="008E781C">
        <w:rPr>
          <w:lang w:val="en-GB"/>
        </w:rPr>
        <w:t xml:space="preserve">his/her residence for the past five years </w:t>
      </w:r>
      <w:bookmarkEnd w:id="13"/>
      <w:r w:rsidR="00942F90" w:rsidRPr="008E781C">
        <w:rPr>
          <w:lang w:val="en-GB"/>
        </w:rPr>
        <w:t xml:space="preserve">for offences established in the Spanish legal system </w:t>
      </w:r>
    </w:p>
    <w:p w14:paraId="7B51A66B" w14:textId="169AE025" w:rsidR="00993F70" w:rsidRPr="008E781C" w:rsidRDefault="007019D6" w:rsidP="00AB1C99">
      <w:pPr>
        <w:pStyle w:val="MMultilevel"/>
        <w:numPr>
          <w:ilvl w:val="0"/>
          <w:numId w:val="25"/>
        </w:numPr>
        <w:ind w:left="364"/>
        <w:rPr>
          <w:lang w:val="en-GB"/>
        </w:rPr>
      </w:pPr>
      <w:r w:rsidRPr="008E781C">
        <w:rPr>
          <w:b/>
          <w:lang w:val="en-GB"/>
        </w:rPr>
        <w:t>Not to</w:t>
      </w:r>
      <w:r w:rsidR="00993F70" w:rsidRPr="008E781C">
        <w:rPr>
          <w:b/>
          <w:lang w:val="en-GB"/>
        </w:rPr>
        <w:t xml:space="preserve"> appear as rejected</w:t>
      </w:r>
      <w:r w:rsidR="00993F70" w:rsidRPr="008E781C">
        <w:rPr>
          <w:lang w:val="en-GB"/>
        </w:rPr>
        <w:t xml:space="preserve"> in the territorial area of countries with which Spain has signed an agreement </w:t>
      </w:r>
      <w:r w:rsidR="00A051F2" w:rsidRPr="008E781C">
        <w:rPr>
          <w:lang w:val="en-GB"/>
        </w:rPr>
        <w:t xml:space="preserve">in </w:t>
      </w:r>
      <w:r w:rsidR="00993F70" w:rsidRPr="008E781C">
        <w:rPr>
          <w:lang w:val="en-GB"/>
        </w:rPr>
        <w:t>this regard</w:t>
      </w:r>
      <w:r w:rsidRPr="008E781C">
        <w:rPr>
          <w:rStyle w:val="FootnoteReference"/>
          <w:lang w:val="en-GB"/>
        </w:rPr>
        <w:footnoteReference w:id="89"/>
      </w:r>
    </w:p>
    <w:p w14:paraId="066A4A57" w14:textId="253E0BD9" w:rsidR="00993F70" w:rsidRPr="008E781C" w:rsidRDefault="007019D6" w:rsidP="00AB1C99">
      <w:pPr>
        <w:pStyle w:val="MMultilevel"/>
        <w:numPr>
          <w:ilvl w:val="0"/>
          <w:numId w:val="25"/>
        </w:numPr>
        <w:ind w:left="364"/>
        <w:rPr>
          <w:lang w:val="en-GB"/>
        </w:rPr>
      </w:pPr>
      <w:r w:rsidRPr="008E781C">
        <w:rPr>
          <w:lang w:val="en-GB"/>
        </w:rPr>
        <w:t xml:space="preserve">To have </w:t>
      </w:r>
      <w:r w:rsidR="00993F70" w:rsidRPr="008E781C">
        <w:rPr>
          <w:lang w:val="en-GB"/>
        </w:rPr>
        <w:t xml:space="preserve">a </w:t>
      </w:r>
      <w:r w:rsidR="00993F70" w:rsidRPr="008E781C">
        <w:rPr>
          <w:b/>
          <w:lang w:val="en-GB"/>
        </w:rPr>
        <w:t>public insurance or private health insurance</w:t>
      </w:r>
      <w:r w:rsidR="00993F70" w:rsidRPr="008E781C">
        <w:rPr>
          <w:lang w:val="en-GB"/>
        </w:rPr>
        <w:t xml:space="preserve"> arranged with an insurance company </w:t>
      </w:r>
      <w:r w:rsidRPr="008E781C">
        <w:rPr>
          <w:lang w:val="en-GB"/>
        </w:rPr>
        <w:t xml:space="preserve">authorised </w:t>
      </w:r>
      <w:r w:rsidR="00993F70" w:rsidRPr="008E781C">
        <w:rPr>
          <w:lang w:val="en-GB"/>
        </w:rPr>
        <w:t>to operate in Spain</w:t>
      </w:r>
    </w:p>
    <w:p w14:paraId="36B29BA3" w14:textId="58593B34" w:rsidR="00993F70" w:rsidRPr="008E781C" w:rsidRDefault="007019D6" w:rsidP="00AB1C99">
      <w:pPr>
        <w:pStyle w:val="MMultilevel"/>
        <w:numPr>
          <w:ilvl w:val="0"/>
          <w:numId w:val="25"/>
        </w:numPr>
        <w:ind w:left="364"/>
        <w:rPr>
          <w:lang w:val="en-GB"/>
        </w:rPr>
      </w:pPr>
      <w:r w:rsidRPr="008E781C">
        <w:rPr>
          <w:lang w:val="en-GB"/>
        </w:rPr>
        <w:t>To h</w:t>
      </w:r>
      <w:r w:rsidR="00993F70" w:rsidRPr="008E781C">
        <w:rPr>
          <w:lang w:val="en-GB"/>
        </w:rPr>
        <w:t xml:space="preserve">ave </w:t>
      </w:r>
      <w:r w:rsidR="00993F70" w:rsidRPr="008E781C">
        <w:rPr>
          <w:b/>
          <w:lang w:val="en-GB"/>
        </w:rPr>
        <w:t>sufficient financial resources</w:t>
      </w:r>
      <w:r w:rsidR="00993F70" w:rsidRPr="008E781C">
        <w:rPr>
          <w:lang w:val="en-GB"/>
        </w:rPr>
        <w:t xml:space="preserve"> for themselves and their family members </w:t>
      </w:r>
      <w:r w:rsidR="00993F70" w:rsidRPr="008E781C">
        <w:rPr>
          <w:b/>
          <w:lang w:val="en-GB"/>
        </w:rPr>
        <w:t>during their period of residence</w:t>
      </w:r>
      <w:r w:rsidR="00993F70" w:rsidRPr="008E781C">
        <w:rPr>
          <w:lang w:val="en-GB"/>
        </w:rPr>
        <w:t xml:space="preserve"> in Spain</w:t>
      </w:r>
    </w:p>
    <w:p w14:paraId="7D09803F" w14:textId="0D172BEE" w:rsidR="00993F70" w:rsidRPr="008E781C" w:rsidRDefault="007019D6" w:rsidP="00AB1C99">
      <w:pPr>
        <w:pStyle w:val="MMultilevel"/>
        <w:numPr>
          <w:ilvl w:val="0"/>
          <w:numId w:val="25"/>
        </w:numPr>
        <w:ind w:left="364"/>
        <w:rPr>
          <w:b/>
          <w:lang w:val="en-GB"/>
        </w:rPr>
      </w:pPr>
      <w:r w:rsidRPr="008E781C">
        <w:rPr>
          <w:lang w:val="en-GB"/>
        </w:rPr>
        <w:t xml:space="preserve">To pay </w:t>
      </w:r>
      <w:r w:rsidR="00993F70" w:rsidRPr="008E781C">
        <w:rPr>
          <w:lang w:val="en-GB"/>
        </w:rPr>
        <w:t xml:space="preserve">the corresponding </w:t>
      </w:r>
      <w:hyperlink w:anchor="fee" w:history="1">
        <w:r w:rsidR="00993F70" w:rsidRPr="008E781C">
          <w:rPr>
            <w:rStyle w:val="Hyperlink"/>
            <w:b/>
            <w:lang w:val="en-GB"/>
          </w:rPr>
          <w:t>fee</w:t>
        </w:r>
      </w:hyperlink>
      <w:r w:rsidR="007674C6" w:rsidRPr="008E781C">
        <w:rPr>
          <w:rStyle w:val="FootnoteReference"/>
          <w:lang w:val="en-GB"/>
        </w:rPr>
        <w:footnoteReference w:id="90"/>
      </w:r>
    </w:p>
    <w:p w14:paraId="7089EE64" w14:textId="46F4CF37" w:rsidR="00993F70" w:rsidRPr="008E781C" w:rsidRDefault="007019D6" w:rsidP="00AB1C99">
      <w:pPr>
        <w:pStyle w:val="MMultilevel"/>
        <w:numPr>
          <w:ilvl w:val="0"/>
          <w:numId w:val="25"/>
        </w:numPr>
        <w:ind w:left="364"/>
        <w:rPr>
          <w:lang w:val="en-GB"/>
        </w:rPr>
      </w:pPr>
      <w:r w:rsidRPr="008E781C">
        <w:rPr>
          <w:lang w:val="en-GB"/>
        </w:rPr>
        <w:t xml:space="preserve">To </w:t>
      </w:r>
      <w:r w:rsidRPr="008E781C">
        <w:rPr>
          <w:b/>
          <w:lang w:val="en-GB"/>
        </w:rPr>
        <w:t>fulfil the obligations</w:t>
      </w:r>
      <w:r w:rsidRPr="008E781C">
        <w:rPr>
          <w:lang w:val="en-GB"/>
        </w:rPr>
        <w:t xml:space="preserve"> </w:t>
      </w:r>
      <w:r w:rsidR="00993F70" w:rsidRPr="008E781C">
        <w:rPr>
          <w:lang w:val="en-GB"/>
        </w:rPr>
        <w:t xml:space="preserve">established by Law 10/2010, of April 28, on the </w:t>
      </w:r>
      <w:r w:rsidR="00993F70" w:rsidRPr="008E781C">
        <w:rPr>
          <w:b/>
          <w:lang w:val="en-GB"/>
        </w:rPr>
        <w:t>prevention of money laundering</w:t>
      </w:r>
      <w:r w:rsidR="00993F70" w:rsidRPr="008E781C">
        <w:rPr>
          <w:lang w:val="en-GB"/>
        </w:rPr>
        <w:t xml:space="preserve"> and the financing of terrorism</w:t>
      </w:r>
      <w:r w:rsidRPr="008E781C">
        <w:rPr>
          <w:rStyle w:val="FootnoteReference"/>
          <w:lang w:val="en-GB"/>
        </w:rPr>
        <w:footnoteReference w:id="91"/>
      </w:r>
      <w:r w:rsidR="00993F70" w:rsidRPr="008E781C">
        <w:rPr>
          <w:lang w:val="en-GB"/>
        </w:rPr>
        <w:t xml:space="preserve"> and the corresponding </w:t>
      </w:r>
      <w:r w:rsidR="00993F70" w:rsidRPr="008E781C">
        <w:rPr>
          <w:b/>
          <w:lang w:val="en-GB"/>
        </w:rPr>
        <w:t>Social Security or tax obligations</w:t>
      </w:r>
      <w:r w:rsidR="00993F70" w:rsidRPr="008E781C">
        <w:rPr>
          <w:lang w:val="en-GB"/>
        </w:rPr>
        <w:t>.</w:t>
      </w:r>
      <w:r w:rsidRPr="008E781C">
        <w:rPr>
          <w:rStyle w:val="FootnoteReference"/>
          <w:lang w:val="en-GB"/>
        </w:rPr>
        <w:footnoteReference w:id="92"/>
      </w:r>
    </w:p>
    <w:p w14:paraId="4059720B" w14:textId="16B818A5" w:rsidR="0094036C" w:rsidRPr="008E781C" w:rsidRDefault="0094036C" w:rsidP="002B399D">
      <w:pPr>
        <w:pStyle w:val="MMultilevel"/>
        <w:numPr>
          <w:ilvl w:val="0"/>
          <w:numId w:val="0"/>
        </w:numPr>
        <w:rPr>
          <w:lang w:val="en-GB"/>
        </w:rPr>
      </w:pPr>
    </w:p>
    <w:p w14:paraId="7ABC368A" w14:textId="7B86ED02" w:rsidR="00267A4E" w:rsidRPr="008E781C" w:rsidRDefault="00F65356" w:rsidP="00F65356">
      <w:pPr>
        <w:pStyle w:val="MMultilevel"/>
        <w:numPr>
          <w:ilvl w:val="0"/>
          <w:numId w:val="0"/>
        </w:numPr>
        <w:rPr>
          <w:lang w:val="en-GB"/>
        </w:rPr>
      </w:pPr>
      <w:r w:rsidRPr="008E781C">
        <w:rPr>
          <w:lang w:val="en-GB"/>
        </w:rPr>
        <w:t>Apart from the general criteria stated above, t</w:t>
      </w:r>
      <w:r w:rsidR="00267A4E" w:rsidRPr="008E781C">
        <w:rPr>
          <w:lang w:val="en-GB"/>
        </w:rPr>
        <w:t xml:space="preserve">here are other </w:t>
      </w:r>
      <w:r w:rsidR="00267A4E" w:rsidRPr="008E781C">
        <w:rPr>
          <w:b/>
          <w:lang w:val="en-GB"/>
        </w:rPr>
        <w:t>criteria</w:t>
      </w:r>
      <w:r w:rsidR="00267A4E" w:rsidRPr="008E781C">
        <w:rPr>
          <w:lang w:val="en-GB"/>
        </w:rPr>
        <w:t xml:space="preserve"> which are </w:t>
      </w:r>
      <w:r w:rsidR="00267A4E" w:rsidRPr="008E781C">
        <w:rPr>
          <w:b/>
          <w:lang w:val="en-GB"/>
        </w:rPr>
        <w:t xml:space="preserve">specific to the residence </w:t>
      </w:r>
      <w:r w:rsidR="00267A4E" w:rsidRPr="008E781C">
        <w:rPr>
          <w:b/>
          <w:lang w:val="en-GB"/>
        </w:rPr>
        <w:lastRenderedPageBreak/>
        <w:t>authorisation for investors</w:t>
      </w:r>
      <w:r w:rsidR="00B92B66" w:rsidRPr="008E781C">
        <w:rPr>
          <w:lang w:val="en-GB"/>
        </w:rPr>
        <w:t>:</w:t>
      </w:r>
      <w:r w:rsidR="00C44BF2" w:rsidRPr="008E781C">
        <w:rPr>
          <w:lang w:val="en-GB"/>
        </w:rPr>
        <w:t xml:space="preserve"> </w:t>
      </w:r>
    </w:p>
    <w:p w14:paraId="2CB5044D" w14:textId="77777777" w:rsidR="006F24CB" w:rsidRPr="008E781C" w:rsidRDefault="006F24CB" w:rsidP="00F65356">
      <w:pPr>
        <w:pStyle w:val="MMultilevel"/>
        <w:numPr>
          <w:ilvl w:val="0"/>
          <w:numId w:val="0"/>
        </w:numPr>
        <w:rPr>
          <w:lang w:val="en-GB"/>
        </w:rPr>
      </w:pPr>
    </w:p>
    <w:p w14:paraId="643F2CA3" w14:textId="3CDB6FF6" w:rsidR="00B92B66" w:rsidRPr="008E781C" w:rsidRDefault="00B92B66" w:rsidP="00AB1C99">
      <w:pPr>
        <w:pStyle w:val="MMultilevel"/>
        <w:numPr>
          <w:ilvl w:val="0"/>
          <w:numId w:val="16"/>
        </w:numPr>
        <w:ind w:left="378"/>
        <w:rPr>
          <w:lang w:val="en-GB"/>
        </w:rPr>
      </w:pPr>
      <w:r w:rsidRPr="008E781C">
        <w:rPr>
          <w:lang w:val="en-GB"/>
        </w:rPr>
        <w:t xml:space="preserve">If the investor </w:t>
      </w:r>
      <w:r w:rsidRPr="008E781C">
        <w:rPr>
          <w:b/>
          <w:lang w:val="en-GB"/>
        </w:rPr>
        <w:t>holds an investors’ residence visa</w:t>
      </w:r>
      <w:r w:rsidRPr="008E781C">
        <w:rPr>
          <w:lang w:val="en-GB"/>
        </w:rPr>
        <w:t>:</w:t>
      </w:r>
      <w:r w:rsidR="00AC3C9C" w:rsidRPr="008E781C">
        <w:rPr>
          <w:rStyle w:val="FootnoteReference"/>
          <w:lang w:val="en-GB"/>
        </w:rPr>
        <w:footnoteReference w:id="93"/>
      </w:r>
    </w:p>
    <w:p w14:paraId="0F2C4D4A" w14:textId="6E0545C0" w:rsidR="00267A4E" w:rsidRPr="008E781C" w:rsidRDefault="00AC3C9C" w:rsidP="00AB1C99">
      <w:pPr>
        <w:pStyle w:val="MMultilevel"/>
        <w:numPr>
          <w:ilvl w:val="1"/>
          <w:numId w:val="5"/>
        </w:numPr>
        <w:rPr>
          <w:lang w:val="en-GB"/>
        </w:rPr>
      </w:pPr>
      <w:r w:rsidRPr="008E781C">
        <w:rPr>
          <w:lang w:val="en-GB"/>
        </w:rPr>
        <w:t>The</w:t>
      </w:r>
      <w:r w:rsidR="00267A4E" w:rsidRPr="008E781C">
        <w:rPr>
          <w:lang w:val="en-GB"/>
        </w:rPr>
        <w:t xml:space="preserve"> visa</w:t>
      </w:r>
      <w:r w:rsidRPr="008E781C">
        <w:rPr>
          <w:lang w:val="en-GB"/>
        </w:rPr>
        <w:t xml:space="preserve"> must be</w:t>
      </w:r>
      <w:r w:rsidR="00267A4E" w:rsidRPr="008E781C">
        <w:rPr>
          <w:lang w:val="en-GB"/>
        </w:rPr>
        <w:t xml:space="preserve"> in force or be within </w:t>
      </w:r>
      <w:r w:rsidRPr="008E781C">
        <w:rPr>
          <w:lang w:val="en-GB"/>
        </w:rPr>
        <w:t xml:space="preserve">the </w:t>
      </w:r>
      <w:r w:rsidR="00267A4E" w:rsidRPr="008E781C">
        <w:rPr>
          <w:lang w:val="en-GB"/>
        </w:rPr>
        <w:t xml:space="preserve">90 days </w:t>
      </w:r>
      <w:r w:rsidRPr="008E781C">
        <w:rPr>
          <w:lang w:val="en-GB"/>
        </w:rPr>
        <w:t xml:space="preserve">following </w:t>
      </w:r>
      <w:r w:rsidR="009D7111" w:rsidRPr="008E781C">
        <w:rPr>
          <w:lang w:val="en-GB"/>
        </w:rPr>
        <w:t>the end of its validity period</w:t>
      </w:r>
      <w:r w:rsidRPr="008E781C">
        <w:rPr>
          <w:lang w:val="en-GB"/>
        </w:rPr>
        <w:t>;</w:t>
      </w:r>
    </w:p>
    <w:p w14:paraId="548BABDF" w14:textId="4E95A237" w:rsidR="00D02780" w:rsidRPr="008E781C" w:rsidRDefault="00942F90" w:rsidP="00AB1C99">
      <w:pPr>
        <w:pStyle w:val="MMultilevel"/>
        <w:numPr>
          <w:ilvl w:val="1"/>
          <w:numId w:val="5"/>
        </w:numPr>
        <w:rPr>
          <w:lang w:val="en-GB"/>
        </w:rPr>
      </w:pPr>
      <w:r w:rsidRPr="008E781C">
        <w:rPr>
          <w:lang w:val="en-GB"/>
        </w:rPr>
        <w:t>The applicant must f</w:t>
      </w:r>
      <w:r w:rsidR="00AC3C9C" w:rsidRPr="008E781C">
        <w:rPr>
          <w:lang w:val="en-GB"/>
        </w:rPr>
        <w:t>ile the d</w:t>
      </w:r>
      <w:r w:rsidR="00797E01" w:rsidRPr="008E781C">
        <w:rPr>
          <w:lang w:val="en-GB"/>
        </w:rPr>
        <w:t>ocuments to pro</w:t>
      </w:r>
      <w:r w:rsidR="00283366" w:rsidRPr="008E781C">
        <w:rPr>
          <w:lang w:val="en-GB"/>
        </w:rPr>
        <w:t>ve th</w:t>
      </w:r>
      <w:r w:rsidR="00AC3C9C" w:rsidRPr="008E781C">
        <w:rPr>
          <w:lang w:val="en-GB"/>
        </w:rPr>
        <w:t>at s/h</w:t>
      </w:r>
      <w:r w:rsidR="00283366" w:rsidRPr="008E781C">
        <w:rPr>
          <w:lang w:val="en-GB"/>
        </w:rPr>
        <w:t>e</w:t>
      </w:r>
      <w:r w:rsidR="00AC3C9C" w:rsidRPr="008E781C">
        <w:rPr>
          <w:lang w:val="en-GB"/>
        </w:rPr>
        <w:t xml:space="preserve"> has </w:t>
      </w:r>
      <w:r w:rsidR="00A051F2" w:rsidRPr="008E781C">
        <w:rPr>
          <w:lang w:val="en-GB"/>
        </w:rPr>
        <w:t>made</w:t>
      </w:r>
      <w:r w:rsidR="00AC3C9C" w:rsidRPr="008E781C">
        <w:rPr>
          <w:lang w:val="en-GB"/>
        </w:rPr>
        <w:t xml:space="preserve"> a</w:t>
      </w:r>
      <w:r w:rsidR="00283366" w:rsidRPr="008E781C">
        <w:rPr>
          <w:lang w:val="en-GB"/>
        </w:rPr>
        <w:t xml:space="preserve"> </w:t>
      </w:r>
      <w:r w:rsidR="00AC3C9C" w:rsidRPr="008E781C">
        <w:rPr>
          <w:lang w:val="en-GB"/>
        </w:rPr>
        <w:t xml:space="preserve">‘significant capital </w:t>
      </w:r>
      <w:r w:rsidR="00283366" w:rsidRPr="008E781C">
        <w:rPr>
          <w:lang w:val="en-GB"/>
        </w:rPr>
        <w:t>investment</w:t>
      </w:r>
      <w:r w:rsidR="00AC3C9C" w:rsidRPr="008E781C">
        <w:rPr>
          <w:lang w:val="en-GB"/>
        </w:rPr>
        <w:t>’</w:t>
      </w:r>
      <w:r w:rsidR="00283366" w:rsidRPr="008E781C">
        <w:rPr>
          <w:lang w:val="en-GB"/>
        </w:rPr>
        <w:t xml:space="preserve"> (see</w:t>
      </w:r>
      <w:r w:rsidR="009D7111" w:rsidRPr="008E781C">
        <w:rPr>
          <w:lang w:val="en-GB"/>
        </w:rPr>
        <w:t xml:space="preserve"> the table in</w:t>
      </w:r>
      <w:r w:rsidR="00283366" w:rsidRPr="008E781C">
        <w:rPr>
          <w:lang w:val="en-GB"/>
        </w:rPr>
        <w:t xml:space="preserve"> Section </w:t>
      </w:r>
      <w:r w:rsidR="00AC3C9C" w:rsidRPr="008E781C">
        <w:rPr>
          <w:lang w:val="en-GB"/>
        </w:rPr>
        <w:t>II.</w:t>
      </w:r>
      <w:r w:rsidR="00C54248" w:rsidRPr="008E781C">
        <w:rPr>
          <w:lang w:val="en-GB"/>
        </w:rPr>
        <w:t xml:space="preserve">2 ‘Type of Investment’ </w:t>
      </w:r>
      <w:r w:rsidR="009D7111" w:rsidRPr="008E781C">
        <w:rPr>
          <w:lang w:val="en-GB"/>
        </w:rPr>
        <w:t>of this Report</w:t>
      </w:r>
      <w:r w:rsidR="00797E01" w:rsidRPr="008E781C">
        <w:rPr>
          <w:lang w:val="en-GB"/>
        </w:rPr>
        <w:t>)</w:t>
      </w:r>
      <w:r w:rsidR="00AC3C9C" w:rsidRPr="008E781C">
        <w:rPr>
          <w:lang w:val="en-GB"/>
        </w:rPr>
        <w:t xml:space="preserve">; </w:t>
      </w:r>
    </w:p>
    <w:p w14:paraId="0278EDFE" w14:textId="5D7CE95A" w:rsidR="00AC3C9C" w:rsidRPr="008E781C" w:rsidRDefault="00AC3C9C" w:rsidP="00AB1C99">
      <w:pPr>
        <w:pStyle w:val="MMultilevel"/>
        <w:numPr>
          <w:ilvl w:val="0"/>
          <w:numId w:val="16"/>
        </w:numPr>
        <w:ind w:left="392"/>
        <w:rPr>
          <w:lang w:val="en-GB"/>
        </w:rPr>
      </w:pPr>
      <w:r w:rsidRPr="008E781C">
        <w:rPr>
          <w:lang w:val="en-GB"/>
        </w:rPr>
        <w:t xml:space="preserve">If the investor </w:t>
      </w:r>
      <w:r w:rsidRPr="008E781C">
        <w:rPr>
          <w:b/>
          <w:lang w:val="en-GB"/>
        </w:rPr>
        <w:t>does not hold an investors’ residence visa but is legally in the Spanish territory</w:t>
      </w:r>
      <w:r w:rsidRPr="008E781C">
        <w:rPr>
          <w:lang w:val="en-GB"/>
        </w:rPr>
        <w:t xml:space="preserve"> (for example, s/he has a stay visa), s/he must </w:t>
      </w:r>
      <w:r w:rsidR="00A051F2" w:rsidRPr="008E781C">
        <w:rPr>
          <w:lang w:val="en-GB"/>
        </w:rPr>
        <w:t>make</w:t>
      </w:r>
      <w:r w:rsidRPr="008E781C">
        <w:rPr>
          <w:lang w:val="en-GB"/>
        </w:rPr>
        <w:t xml:space="preserve"> a ‘significant capital investment’ in the terms defined above in this Report.</w:t>
      </w:r>
      <w:r w:rsidRPr="008E781C">
        <w:rPr>
          <w:rStyle w:val="FootnoteReference"/>
          <w:lang w:val="en-GB"/>
        </w:rPr>
        <w:footnoteReference w:id="94"/>
      </w:r>
    </w:p>
    <w:p w14:paraId="60976FE0" w14:textId="4E62DE8A" w:rsidR="00B92B66" w:rsidRPr="008E781C" w:rsidRDefault="00B92B66" w:rsidP="00B92B66">
      <w:pPr>
        <w:pStyle w:val="MMultilevel"/>
        <w:numPr>
          <w:ilvl w:val="0"/>
          <w:numId w:val="0"/>
        </w:numPr>
        <w:rPr>
          <w:lang w:val="en-GB"/>
        </w:rPr>
      </w:pPr>
    </w:p>
    <w:p w14:paraId="6159B19C" w14:textId="1C110594" w:rsidR="00FC1F51" w:rsidRPr="008E781C" w:rsidRDefault="00FC1F51" w:rsidP="00FC1F51">
      <w:pPr>
        <w:pStyle w:val="MMultilevel"/>
        <w:numPr>
          <w:ilvl w:val="0"/>
          <w:numId w:val="0"/>
        </w:numPr>
        <w:rPr>
          <w:lang w:val="en-GB"/>
        </w:rPr>
      </w:pPr>
      <w:r w:rsidRPr="008E781C">
        <w:rPr>
          <w:lang w:val="en-GB"/>
        </w:rPr>
        <w:t xml:space="preserve">The </w:t>
      </w:r>
      <w:r w:rsidRPr="008E781C">
        <w:rPr>
          <w:b/>
          <w:lang w:val="en-GB"/>
        </w:rPr>
        <w:t>application</w:t>
      </w:r>
      <w:r w:rsidRPr="008E781C">
        <w:rPr>
          <w:lang w:val="en-GB"/>
        </w:rPr>
        <w:t xml:space="preserve"> for a residence authorisation for investors may be </w:t>
      </w:r>
      <w:r w:rsidRPr="008E781C">
        <w:rPr>
          <w:b/>
          <w:lang w:val="en-GB"/>
        </w:rPr>
        <w:t>lodged by</w:t>
      </w:r>
      <w:r w:rsidR="00A051F2" w:rsidRPr="008E781C">
        <w:rPr>
          <w:lang w:val="en-GB"/>
        </w:rPr>
        <w:t xml:space="preserve"> the investors themselves </w:t>
      </w:r>
      <w:r w:rsidR="00840C85" w:rsidRPr="008E781C">
        <w:rPr>
          <w:lang w:val="en-GB"/>
        </w:rPr>
        <w:t>or with their spouse or by</w:t>
      </w:r>
      <w:r w:rsidR="00A051F2" w:rsidRPr="008E781C">
        <w:rPr>
          <w:lang w:val="en-GB"/>
        </w:rPr>
        <w:t xml:space="preserve"> an appointed representative (when the significant investment consists in a business project of general interest)</w:t>
      </w:r>
      <w:r w:rsidR="00840C85" w:rsidRPr="008E781C">
        <w:rPr>
          <w:lang w:val="en-GB"/>
        </w:rPr>
        <w:t>.</w:t>
      </w:r>
      <w:r w:rsidR="00A051F2" w:rsidRPr="008E781C">
        <w:rPr>
          <w:rStyle w:val="FootnoteReference"/>
          <w:lang w:val="en-GB"/>
        </w:rPr>
        <w:footnoteReference w:id="95"/>
      </w:r>
    </w:p>
    <w:p w14:paraId="3E2660BB" w14:textId="45DD5291" w:rsidR="00FC1F51" w:rsidRPr="008E781C" w:rsidRDefault="00FC1F51" w:rsidP="00B92B66">
      <w:pPr>
        <w:pStyle w:val="MMultilevel"/>
        <w:numPr>
          <w:ilvl w:val="0"/>
          <w:numId w:val="0"/>
        </w:numPr>
        <w:rPr>
          <w:lang w:val="en-GB"/>
        </w:rPr>
      </w:pPr>
    </w:p>
    <w:p w14:paraId="1FDC1409" w14:textId="77777777" w:rsidR="00840C85" w:rsidRPr="008E781C" w:rsidRDefault="00744DAD" w:rsidP="00B92B66">
      <w:pPr>
        <w:pStyle w:val="MMultilevel"/>
        <w:numPr>
          <w:ilvl w:val="0"/>
          <w:numId w:val="0"/>
        </w:numPr>
        <w:rPr>
          <w:lang w:val="en-GB"/>
        </w:rPr>
      </w:pPr>
      <w:r w:rsidRPr="008E781C">
        <w:rPr>
          <w:lang w:val="en-GB"/>
        </w:rPr>
        <w:t xml:space="preserve">The </w:t>
      </w:r>
      <w:r w:rsidRPr="008E781C">
        <w:rPr>
          <w:b/>
          <w:lang w:val="en-GB"/>
        </w:rPr>
        <w:t>application standardised form</w:t>
      </w:r>
      <w:r w:rsidRPr="008E781C">
        <w:rPr>
          <w:lang w:val="en-GB"/>
        </w:rPr>
        <w:t xml:space="preserve"> is available online</w:t>
      </w:r>
      <w:r w:rsidRPr="008E781C">
        <w:rPr>
          <w:rStyle w:val="FootnoteReference"/>
          <w:lang w:val="en-GB"/>
        </w:rPr>
        <w:footnoteReference w:id="96"/>
      </w:r>
      <w:r w:rsidRPr="008E781C">
        <w:rPr>
          <w:lang w:val="en-GB"/>
        </w:rPr>
        <w:t xml:space="preserve"> in </w:t>
      </w:r>
      <w:r w:rsidR="00840C85" w:rsidRPr="008E781C">
        <w:rPr>
          <w:lang w:val="en-GB"/>
        </w:rPr>
        <w:t xml:space="preserve">English, French, German, Russian, Chinese and Arabic. </w:t>
      </w:r>
    </w:p>
    <w:p w14:paraId="673AFB21" w14:textId="74DE0AE1" w:rsidR="00744DAD" w:rsidRPr="008E781C" w:rsidRDefault="00840C85" w:rsidP="00B92B66">
      <w:pPr>
        <w:pStyle w:val="MMultilevel"/>
        <w:numPr>
          <w:ilvl w:val="0"/>
          <w:numId w:val="0"/>
        </w:numPr>
        <w:rPr>
          <w:lang w:val="en-GB"/>
        </w:rPr>
      </w:pPr>
      <w:r w:rsidRPr="008E781C" w:rsidDel="00840C85">
        <w:rPr>
          <w:lang w:val="en-GB"/>
        </w:rPr>
        <w:t xml:space="preserve"> </w:t>
      </w:r>
    </w:p>
    <w:p w14:paraId="6C50634D" w14:textId="43541C5A" w:rsidR="001238C4" w:rsidRPr="008E781C" w:rsidRDefault="001238C4">
      <w:pPr>
        <w:pStyle w:val="MMultilevel"/>
        <w:numPr>
          <w:ilvl w:val="0"/>
          <w:numId w:val="0"/>
        </w:numPr>
        <w:rPr>
          <w:lang w:val="en-GB"/>
        </w:rPr>
      </w:pPr>
      <w:r w:rsidRPr="008E781C">
        <w:rPr>
          <w:lang w:val="en-GB"/>
        </w:rPr>
        <w:t xml:space="preserve">The </w:t>
      </w:r>
      <w:r w:rsidRPr="008E781C">
        <w:rPr>
          <w:b/>
          <w:lang w:val="en-GB"/>
        </w:rPr>
        <w:t>processing</w:t>
      </w:r>
      <w:r w:rsidRPr="008E781C">
        <w:rPr>
          <w:lang w:val="en-GB"/>
        </w:rPr>
        <w:t xml:space="preserve"> of the application may be done using </w:t>
      </w:r>
      <w:r w:rsidRPr="008E781C">
        <w:rPr>
          <w:b/>
          <w:lang w:val="en-GB"/>
        </w:rPr>
        <w:t>electronic means</w:t>
      </w:r>
      <w:r w:rsidRPr="008E781C">
        <w:rPr>
          <w:lang w:val="en-GB"/>
        </w:rPr>
        <w:t>.</w:t>
      </w:r>
      <w:r w:rsidRPr="008E781C">
        <w:rPr>
          <w:rStyle w:val="FootnoteReference"/>
          <w:lang w:val="en-GB"/>
        </w:rPr>
        <w:footnoteReference w:id="97"/>
      </w:r>
      <w:r w:rsidRPr="008E781C">
        <w:rPr>
          <w:lang w:val="en-GB"/>
        </w:rPr>
        <w:t xml:space="preserve"> For such purposes, </w:t>
      </w:r>
      <w:r w:rsidR="005C355D" w:rsidRPr="008E781C">
        <w:rPr>
          <w:lang w:val="en-GB"/>
        </w:rPr>
        <w:t xml:space="preserve">the MESS </w:t>
      </w:r>
      <w:r w:rsidR="003F4746" w:rsidRPr="008E781C">
        <w:rPr>
          <w:lang w:val="en-GB"/>
        </w:rPr>
        <w:t>c</w:t>
      </w:r>
      <w:r w:rsidR="005C355D" w:rsidRPr="008E781C">
        <w:rPr>
          <w:lang w:val="en-GB"/>
        </w:rPr>
        <w:t xml:space="preserve">reated </w:t>
      </w:r>
      <w:r w:rsidRPr="008E781C">
        <w:rPr>
          <w:lang w:val="en-GB"/>
        </w:rPr>
        <w:t>an online platform</w:t>
      </w:r>
      <w:r w:rsidR="00B33B9B" w:rsidRPr="008E781C">
        <w:rPr>
          <w:rStyle w:val="FootnoteReference"/>
          <w:lang w:val="en-GB"/>
        </w:rPr>
        <w:footnoteReference w:id="98"/>
      </w:r>
      <w:r w:rsidRPr="008E781C">
        <w:rPr>
          <w:lang w:val="en-GB"/>
        </w:rPr>
        <w:t xml:space="preserve"> through which the following steps can be carried out:</w:t>
      </w:r>
      <w:r w:rsidR="00B33B9B" w:rsidRPr="008E781C">
        <w:rPr>
          <w:rStyle w:val="FootnoteReference"/>
          <w:lang w:val="en-GB"/>
        </w:rPr>
        <w:footnoteReference w:id="99"/>
      </w:r>
    </w:p>
    <w:p w14:paraId="75966F9C" w14:textId="493134CF" w:rsidR="00B33B9B" w:rsidRPr="008E781C" w:rsidRDefault="00B33B9B" w:rsidP="00AB1C99">
      <w:pPr>
        <w:pStyle w:val="MMultilevel"/>
        <w:numPr>
          <w:ilvl w:val="0"/>
          <w:numId w:val="34"/>
        </w:numPr>
        <w:ind w:left="364"/>
        <w:rPr>
          <w:lang w:val="en-GB"/>
        </w:rPr>
      </w:pPr>
      <w:r w:rsidRPr="008E781C">
        <w:rPr>
          <w:lang w:val="en-GB"/>
        </w:rPr>
        <w:t>filing, for the first time, an application for a residence authorisation;</w:t>
      </w:r>
    </w:p>
    <w:p w14:paraId="1CB9CA66" w14:textId="23B4B35A" w:rsidR="00B33B9B" w:rsidRPr="008E781C" w:rsidRDefault="00B33B9B" w:rsidP="00AB1C99">
      <w:pPr>
        <w:pStyle w:val="MMultilevel"/>
        <w:numPr>
          <w:ilvl w:val="0"/>
          <w:numId w:val="34"/>
        </w:numPr>
        <w:ind w:left="364"/>
        <w:rPr>
          <w:lang w:val="en-GB"/>
        </w:rPr>
      </w:pPr>
      <w:r w:rsidRPr="008E781C">
        <w:rPr>
          <w:lang w:val="en-GB"/>
        </w:rPr>
        <w:t>attaching the necessary accompanying documentation to the filed application for its processing;</w:t>
      </w:r>
    </w:p>
    <w:p w14:paraId="4B7B6238" w14:textId="14157A92" w:rsidR="00B33B9B" w:rsidRPr="008E781C" w:rsidRDefault="00B33B9B" w:rsidP="00AB1C99">
      <w:pPr>
        <w:pStyle w:val="MMultilevel"/>
        <w:numPr>
          <w:ilvl w:val="0"/>
          <w:numId w:val="34"/>
        </w:numPr>
        <w:ind w:left="364"/>
        <w:rPr>
          <w:lang w:val="en-GB"/>
        </w:rPr>
      </w:pPr>
      <w:r w:rsidRPr="008E781C">
        <w:rPr>
          <w:lang w:val="en-GB"/>
        </w:rPr>
        <w:t>attaching new documentation necessary to rectify an application that is incomplete;</w:t>
      </w:r>
    </w:p>
    <w:p w14:paraId="170BDC2D" w14:textId="548D7A3F" w:rsidR="00B33B9B" w:rsidRPr="008E781C" w:rsidRDefault="00B33B9B" w:rsidP="00AB1C99">
      <w:pPr>
        <w:pStyle w:val="MMultilevel"/>
        <w:numPr>
          <w:ilvl w:val="0"/>
          <w:numId w:val="34"/>
        </w:numPr>
        <w:ind w:left="364"/>
        <w:rPr>
          <w:lang w:val="en-GB"/>
        </w:rPr>
      </w:pPr>
      <w:r w:rsidRPr="008E781C">
        <w:rPr>
          <w:lang w:val="en-GB"/>
        </w:rPr>
        <w:t>requesting the renewal of the issued authorisation;</w:t>
      </w:r>
    </w:p>
    <w:p w14:paraId="5297A1D2" w14:textId="7A546179" w:rsidR="00B33B9B" w:rsidRPr="008E781C" w:rsidRDefault="00B33B9B" w:rsidP="00AB1C99">
      <w:pPr>
        <w:pStyle w:val="MMultilevel"/>
        <w:numPr>
          <w:ilvl w:val="0"/>
          <w:numId w:val="34"/>
        </w:numPr>
        <w:ind w:left="364"/>
        <w:rPr>
          <w:lang w:val="en-GB"/>
        </w:rPr>
      </w:pPr>
      <w:r w:rsidRPr="008E781C">
        <w:rPr>
          <w:lang w:val="en-GB"/>
        </w:rPr>
        <w:t xml:space="preserve">consulting the state of the application procedure (e.g. whether the application is being examined by the competent authorities, whether </w:t>
      </w:r>
      <w:r w:rsidR="00840C85" w:rsidRPr="008E781C">
        <w:rPr>
          <w:lang w:val="en-GB"/>
        </w:rPr>
        <w:t>it</w:t>
      </w:r>
      <w:r w:rsidRPr="008E781C">
        <w:rPr>
          <w:lang w:val="en-GB"/>
        </w:rPr>
        <w:t xml:space="preserve"> has been </w:t>
      </w:r>
      <w:r w:rsidR="00E20681" w:rsidRPr="008E781C">
        <w:rPr>
          <w:lang w:val="en-GB"/>
        </w:rPr>
        <w:t>forwarded to the competent authority for its approval, whether the competent authority has issued a decision on the application, etc.); and</w:t>
      </w:r>
    </w:p>
    <w:p w14:paraId="166F2268" w14:textId="122C5B1E" w:rsidR="00E20681" w:rsidRPr="008E781C" w:rsidRDefault="00E20681" w:rsidP="00AB1C99">
      <w:pPr>
        <w:pStyle w:val="MMultilevel"/>
        <w:numPr>
          <w:ilvl w:val="0"/>
          <w:numId w:val="34"/>
        </w:numPr>
        <w:ind w:left="364"/>
        <w:rPr>
          <w:lang w:val="en-GB"/>
        </w:rPr>
      </w:pPr>
      <w:r w:rsidRPr="008E781C">
        <w:rPr>
          <w:lang w:val="en-GB"/>
        </w:rPr>
        <w:t>accessing the notifications issued by the competent authorities.</w:t>
      </w:r>
    </w:p>
    <w:p w14:paraId="43C77958" w14:textId="0B279B5D" w:rsidR="00ED52D7" w:rsidRPr="008E781C" w:rsidRDefault="00ED52D7" w:rsidP="00ED52D7">
      <w:pPr>
        <w:pStyle w:val="MMultilevel"/>
        <w:numPr>
          <w:ilvl w:val="0"/>
          <w:numId w:val="0"/>
        </w:numPr>
        <w:ind w:left="425" w:hanging="425"/>
        <w:rPr>
          <w:lang w:val="en-GB"/>
        </w:rPr>
      </w:pPr>
    </w:p>
    <w:p w14:paraId="011A8AD2" w14:textId="6827EE3F" w:rsidR="000F3AF7" w:rsidRPr="008E781C" w:rsidRDefault="00C44BF2" w:rsidP="000F3AF7">
      <w:pPr>
        <w:pStyle w:val="MMultilevel"/>
        <w:numPr>
          <w:ilvl w:val="0"/>
          <w:numId w:val="0"/>
        </w:numPr>
        <w:rPr>
          <w:lang w:val="en-GB"/>
        </w:rPr>
      </w:pPr>
      <w:r w:rsidRPr="008E781C">
        <w:rPr>
          <w:lang w:val="en-GB"/>
        </w:rPr>
        <w:t>While</w:t>
      </w:r>
      <w:r w:rsidR="000F3AF7" w:rsidRPr="008E781C">
        <w:rPr>
          <w:lang w:val="en-GB"/>
        </w:rPr>
        <w:t xml:space="preserve"> the residence authorisation for investors is </w:t>
      </w:r>
      <w:r w:rsidRPr="008E781C">
        <w:rPr>
          <w:lang w:val="en-GB"/>
        </w:rPr>
        <w:t xml:space="preserve">being processed, </w:t>
      </w:r>
      <w:r w:rsidR="000F3AF7" w:rsidRPr="008E781C">
        <w:rPr>
          <w:lang w:val="en-GB"/>
        </w:rPr>
        <w:t xml:space="preserve">the </w:t>
      </w:r>
      <w:r w:rsidR="000F3AF7" w:rsidRPr="008E781C">
        <w:rPr>
          <w:b/>
          <w:lang w:val="en-GB"/>
        </w:rPr>
        <w:t xml:space="preserve">validity of the investors’ residence visa or stay visa </w:t>
      </w:r>
      <w:r w:rsidRPr="008E781C">
        <w:rPr>
          <w:b/>
          <w:lang w:val="en-GB"/>
        </w:rPr>
        <w:t xml:space="preserve">is extended </w:t>
      </w:r>
      <w:r w:rsidR="000F3AF7" w:rsidRPr="008E781C">
        <w:rPr>
          <w:lang w:val="en-GB"/>
        </w:rPr>
        <w:t>for as long as the procedure is ongoing (including the appeal phase).</w:t>
      </w:r>
      <w:r w:rsidR="000F3AF7" w:rsidRPr="008E781C">
        <w:rPr>
          <w:rStyle w:val="FootnoteReference"/>
          <w:lang w:val="en-GB"/>
        </w:rPr>
        <w:footnoteReference w:id="100"/>
      </w:r>
    </w:p>
    <w:p w14:paraId="0111FD34" w14:textId="09C79AC1" w:rsidR="00A55EB2" w:rsidRPr="008E781C" w:rsidRDefault="00A55EB2" w:rsidP="002B399D">
      <w:pPr>
        <w:pStyle w:val="MMultilevel"/>
        <w:numPr>
          <w:ilvl w:val="0"/>
          <w:numId w:val="0"/>
        </w:numPr>
        <w:rPr>
          <w:lang w:val="en-GB"/>
        </w:rPr>
      </w:pPr>
    </w:p>
    <w:p w14:paraId="1671691A" w14:textId="4FB165AB" w:rsidR="00C44BF2" w:rsidRPr="008E781C" w:rsidRDefault="00C44BF2" w:rsidP="00C44BF2">
      <w:pPr>
        <w:pStyle w:val="MMultilevel"/>
        <w:numPr>
          <w:ilvl w:val="0"/>
          <w:numId w:val="0"/>
        </w:numPr>
        <w:rPr>
          <w:lang w:val="en-GB"/>
        </w:rPr>
      </w:pPr>
      <w:r w:rsidRPr="008E781C">
        <w:rPr>
          <w:lang w:val="en-GB"/>
        </w:rPr>
        <w:t xml:space="preserve">The </w:t>
      </w:r>
      <w:r w:rsidRPr="008E781C">
        <w:rPr>
          <w:b/>
          <w:lang w:val="en-GB"/>
        </w:rPr>
        <w:t>competent authority</w:t>
      </w:r>
      <w:r w:rsidRPr="008E781C">
        <w:rPr>
          <w:lang w:val="en-GB"/>
        </w:rPr>
        <w:t xml:space="preserve"> to </w:t>
      </w:r>
      <w:r w:rsidRPr="008E781C">
        <w:rPr>
          <w:b/>
          <w:lang w:val="en-GB"/>
        </w:rPr>
        <w:t>process</w:t>
      </w:r>
      <w:r w:rsidRPr="008E781C">
        <w:rPr>
          <w:lang w:val="en-GB"/>
        </w:rPr>
        <w:t xml:space="preserve"> (i.e. receive and examine</w:t>
      </w:r>
      <w:r w:rsidRPr="008E781C">
        <w:rPr>
          <w:b/>
          <w:lang w:val="en-GB"/>
        </w:rPr>
        <w:t>)</w:t>
      </w:r>
      <w:r w:rsidRPr="008E781C">
        <w:rPr>
          <w:lang w:val="en-GB"/>
        </w:rPr>
        <w:t xml:space="preserve"> the application for an investors’ residence authorisation is the </w:t>
      </w:r>
      <w:r w:rsidRPr="008E781C">
        <w:rPr>
          <w:b/>
          <w:lang w:val="en-GB"/>
        </w:rPr>
        <w:t xml:space="preserve">Unit of Large Undertakings and Strategic Collectives </w:t>
      </w:r>
      <w:r w:rsidRPr="008E781C">
        <w:rPr>
          <w:lang w:val="en-GB"/>
        </w:rPr>
        <w:t>(UGE-CE).</w:t>
      </w:r>
      <w:r w:rsidRPr="008E781C">
        <w:rPr>
          <w:vertAlign w:val="superscript"/>
          <w:lang w:val="en-GB"/>
        </w:rPr>
        <w:footnoteReference w:id="101"/>
      </w:r>
      <w:r w:rsidRPr="008E781C">
        <w:rPr>
          <w:lang w:val="en-GB"/>
        </w:rPr>
        <w:t xml:space="preserve"> </w:t>
      </w:r>
      <w:r w:rsidR="002E0B98" w:rsidRPr="008E781C">
        <w:rPr>
          <w:lang w:val="en-GB"/>
        </w:rPr>
        <w:t xml:space="preserve">The evidence and procedure to assess the application is specified in Sections II.2 to 4 of this Report (see below). </w:t>
      </w:r>
      <w:r w:rsidRPr="008E781C">
        <w:rPr>
          <w:lang w:val="en-GB"/>
        </w:rPr>
        <w:t xml:space="preserve">However, the </w:t>
      </w:r>
      <w:r w:rsidRPr="008E781C">
        <w:rPr>
          <w:b/>
          <w:lang w:val="en-GB"/>
        </w:rPr>
        <w:t>decision</w:t>
      </w:r>
      <w:r w:rsidRPr="008E781C">
        <w:rPr>
          <w:lang w:val="en-GB"/>
        </w:rPr>
        <w:t xml:space="preserve"> on whether </w:t>
      </w:r>
      <w:r w:rsidR="00840C85" w:rsidRPr="008E781C">
        <w:rPr>
          <w:lang w:val="en-GB"/>
        </w:rPr>
        <w:t xml:space="preserve">or not </w:t>
      </w:r>
      <w:r w:rsidRPr="008E781C">
        <w:rPr>
          <w:lang w:val="en-GB"/>
        </w:rPr>
        <w:t xml:space="preserve">to grant (and, thus, issue) the investors’ residence authorisation lies with the </w:t>
      </w:r>
      <w:r w:rsidRPr="008E781C">
        <w:rPr>
          <w:b/>
          <w:lang w:val="en-GB"/>
        </w:rPr>
        <w:t>General Directorate on Migrations</w:t>
      </w:r>
      <w:r w:rsidRPr="008E781C">
        <w:rPr>
          <w:lang w:val="en-GB"/>
        </w:rPr>
        <w:t xml:space="preserve"> (</w:t>
      </w:r>
      <w:r w:rsidRPr="008E781C">
        <w:rPr>
          <w:i/>
          <w:lang w:val="en-GB"/>
        </w:rPr>
        <w:t>Dirección General de Migraciones</w:t>
      </w:r>
      <w:r w:rsidRPr="008E781C">
        <w:rPr>
          <w:lang w:val="en-GB"/>
        </w:rPr>
        <w:t>, DGM).</w:t>
      </w:r>
      <w:r w:rsidRPr="008E781C">
        <w:rPr>
          <w:vertAlign w:val="superscript"/>
          <w:lang w:val="en-GB"/>
        </w:rPr>
        <w:footnoteReference w:id="102"/>
      </w:r>
    </w:p>
    <w:p w14:paraId="3CC90A81" w14:textId="3FD66073" w:rsidR="00A25FF8" w:rsidRPr="008E781C" w:rsidRDefault="007D7E0B" w:rsidP="002B399D">
      <w:pPr>
        <w:pStyle w:val="MMultilevel"/>
        <w:numPr>
          <w:ilvl w:val="0"/>
          <w:numId w:val="0"/>
        </w:numPr>
        <w:rPr>
          <w:lang w:val="en-GB"/>
        </w:rPr>
      </w:pPr>
      <w:r w:rsidRPr="008E781C">
        <w:rPr>
          <w:lang w:val="en-GB"/>
        </w:rPr>
        <w:t xml:space="preserve">The </w:t>
      </w:r>
      <w:r w:rsidR="00E20681" w:rsidRPr="008E781C">
        <w:rPr>
          <w:lang w:val="en-GB"/>
        </w:rPr>
        <w:t xml:space="preserve">DGM must </w:t>
      </w:r>
      <w:r w:rsidR="00CD5F1A" w:rsidRPr="008E781C">
        <w:rPr>
          <w:lang w:val="en-GB"/>
        </w:rPr>
        <w:t xml:space="preserve">take a </w:t>
      </w:r>
      <w:r w:rsidR="00CD5F1A" w:rsidRPr="008E781C">
        <w:rPr>
          <w:b/>
          <w:lang w:val="en-GB"/>
        </w:rPr>
        <w:t>decision</w:t>
      </w:r>
      <w:r w:rsidR="00CD5F1A" w:rsidRPr="008E781C">
        <w:rPr>
          <w:lang w:val="en-GB"/>
        </w:rPr>
        <w:t xml:space="preserve"> and notify it to the applicant </w:t>
      </w:r>
      <w:r w:rsidRPr="008E781C">
        <w:rPr>
          <w:lang w:val="en-GB"/>
        </w:rPr>
        <w:t xml:space="preserve">within </w:t>
      </w:r>
      <w:r w:rsidRPr="008E781C">
        <w:rPr>
          <w:b/>
          <w:lang w:val="en-GB"/>
        </w:rPr>
        <w:t>20 days from the submission</w:t>
      </w:r>
      <w:r w:rsidR="00993F70" w:rsidRPr="008E781C">
        <w:rPr>
          <w:lang w:val="en-GB"/>
        </w:rPr>
        <w:t xml:space="preserve"> of </w:t>
      </w:r>
      <w:r w:rsidR="00993F70" w:rsidRPr="008E781C">
        <w:rPr>
          <w:lang w:val="en-GB"/>
        </w:rPr>
        <w:lastRenderedPageBreak/>
        <w:t xml:space="preserve">the </w:t>
      </w:r>
      <w:r w:rsidR="00CD5F1A" w:rsidRPr="008E781C">
        <w:rPr>
          <w:lang w:val="en-GB"/>
        </w:rPr>
        <w:t>application</w:t>
      </w:r>
      <w:r w:rsidRPr="008E781C">
        <w:rPr>
          <w:lang w:val="en-GB"/>
        </w:rPr>
        <w:t xml:space="preserve">. If </w:t>
      </w:r>
      <w:r w:rsidR="00E20681" w:rsidRPr="008E781C">
        <w:rPr>
          <w:lang w:val="en-GB"/>
        </w:rPr>
        <w:t>no decision is taken and notified within this period</w:t>
      </w:r>
      <w:r w:rsidRPr="008E781C">
        <w:rPr>
          <w:lang w:val="en-GB"/>
        </w:rPr>
        <w:t xml:space="preserve">, the </w:t>
      </w:r>
      <w:r w:rsidR="00EC27EF" w:rsidRPr="008E781C">
        <w:rPr>
          <w:lang w:val="en-GB"/>
        </w:rPr>
        <w:t xml:space="preserve">authorisation </w:t>
      </w:r>
      <w:r w:rsidRPr="008E781C">
        <w:rPr>
          <w:lang w:val="en-GB"/>
        </w:rPr>
        <w:t>must be considered as granted</w:t>
      </w:r>
      <w:r w:rsidR="00BF4128" w:rsidRPr="008E781C">
        <w:rPr>
          <w:lang w:val="en-GB"/>
        </w:rPr>
        <w:t xml:space="preserve"> (‘</w:t>
      </w:r>
      <w:r w:rsidR="00BF4128" w:rsidRPr="008E781C">
        <w:rPr>
          <w:b/>
          <w:lang w:val="en-GB"/>
        </w:rPr>
        <w:t>affirmative administrative silence</w:t>
      </w:r>
      <w:r w:rsidR="00BF4128" w:rsidRPr="008E781C">
        <w:rPr>
          <w:lang w:val="en-GB"/>
        </w:rPr>
        <w:t>’)</w:t>
      </w:r>
      <w:r w:rsidRPr="008E781C">
        <w:rPr>
          <w:lang w:val="en-GB"/>
        </w:rPr>
        <w:t>.</w:t>
      </w:r>
      <w:r w:rsidR="00E20681" w:rsidRPr="008E781C">
        <w:rPr>
          <w:rStyle w:val="FootnoteReference"/>
          <w:lang w:val="en-GB"/>
        </w:rPr>
        <w:footnoteReference w:id="103"/>
      </w:r>
      <w:r w:rsidRPr="008E781C">
        <w:rPr>
          <w:lang w:val="en-GB"/>
        </w:rPr>
        <w:t xml:space="preserve"> The resolution must be </w:t>
      </w:r>
      <w:r w:rsidRPr="008E781C">
        <w:rPr>
          <w:b/>
          <w:lang w:val="en-GB"/>
        </w:rPr>
        <w:t>reasoned</w:t>
      </w:r>
      <w:r w:rsidRPr="008E781C">
        <w:rPr>
          <w:lang w:val="en-GB"/>
        </w:rPr>
        <w:t>.</w:t>
      </w:r>
      <w:r w:rsidRPr="008E781C">
        <w:rPr>
          <w:rStyle w:val="FootnoteReference"/>
          <w:lang w:val="en-GB"/>
        </w:rPr>
        <w:footnoteReference w:id="104"/>
      </w:r>
      <w:r w:rsidR="00D546E6" w:rsidRPr="008E781C">
        <w:rPr>
          <w:lang w:val="en-GB"/>
        </w:rPr>
        <w:t xml:space="preserve"> </w:t>
      </w:r>
    </w:p>
    <w:p w14:paraId="5896DEAF" w14:textId="77777777" w:rsidR="00A25FF8" w:rsidRPr="008E781C" w:rsidRDefault="00A25FF8" w:rsidP="002B399D">
      <w:pPr>
        <w:pStyle w:val="MMultilevel"/>
        <w:numPr>
          <w:ilvl w:val="0"/>
          <w:numId w:val="0"/>
        </w:numPr>
        <w:rPr>
          <w:lang w:val="en-GB"/>
        </w:rPr>
      </w:pPr>
    </w:p>
    <w:p w14:paraId="41BB9DD7" w14:textId="457C8FFB" w:rsidR="00951D14" w:rsidRPr="008E781C" w:rsidRDefault="00840C85" w:rsidP="00BC563C">
      <w:pPr>
        <w:pStyle w:val="MMultilevel"/>
        <w:numPr>
          <w:ilvl w:val="0"/>
          <w:numId w:val="0"/>
        </w:numPr>
        <w:rPr>
          <w:lang w:val="en-GB"/>
        </w:rPr>
      </w:pPr>
      <w:r w:rsidRPr="008E781C">
        <w:rPr>
          <w:lang w:val="en-GB"/>
        </w:rPr>
        <w:t>If</w:t>
      </w:r>
      <w:r w:rsidR="00A25FF8" w:rsidRPr="008E781C">
        <w:rPr>
          <w:lang w:val="en-GB"/>
        </w:rPr>
        <w:t xml:space="preserve"> the application for a </w:t>
      </w:r>
      <w:r w:rsidR="00A25FF8" w:rsidRPr="008E781C">
        <w:rPr>
          <w:b/>
          <w:lang w:val="en-GB"/>
        </w:rPr>
        <w:t>residence</w:t>
      </w:r>
      <w:r w:rsidR="007534FD" w:rsidRPr="008E781C">
        <w:rPr>
          <w:b/>
          <w:lang w:val="en-GB"/>
        </w:rPr>
        <w:t xml:space="preserve"> authorisation for investors</w:t>
      </w:r>
      <w:r w:rsidR="007534FD" w:rsidRPr="008E781C">
        <w:rPr>
          <w:lang w:val="en-GB"/>
        </w:rPr>
        <w:t xml:space="preserve"> is approved and the authorisation </w:t>
      </w:r>
      <w:r w:rsidR="007534FD" w:rsidRPr="008E781C">
        <w:rPr>
          <w:b/>
          <w:lang w:val="en-GB"/>
        </w:rPr>
        <w:t>issued</w:t>
      </w:r>
      <w:r w:rsidR="007534FD" w:rsidRPr="008E781C">
        <w:rPr>
          <w:lang w:val="en-GB"/>
        </w:rPr>
        <w:t xml:space="preserve">, the investor has the right to </w:t>
      </w:r>
      <w:r w:rsidR="005C355D" w:rsidRPr="008E781C">
        <w:rPr>
          <w:b/>
          <w:lang w:val="en-GB"/>
        </w:rPr>
        <w:t>reside and work</w:t>
      </w:r>
      <w:r w:rsidR="005C355D" w:rsidRPr="008E781C">
        <w:rPr>
          <w:rStyle w:val="FootnoteReference"/>
          <w:lang w:val="en-GB"/>
        </w:rPr>
        <w:footnoteReference w:id="105"/>
      </w:r>
      <w:r w:rsidR="007534FD" w:rsidRPr="008E781C">
        <w:rPr>
          <w:lang w:val="en-GB"/>
        </w:rPr>
        <w:t xml:space="preserve"> in Spain for </w:t>
      </w:r>
      <w:r w:rsidR="007534FD" w:rsidRPr="008E781C">
        <w:rPr>
          <w:b/>
          <w:lang w:val="en-GB"/>
        </w:rPr>
        <w:t>two years</w:t>
      </w:r>
      <w:r w:rsidR="007534FD" w:rsidRPr="008E781C">
        <w:rPr>
          <w:lang w:val="en-GB"/>
        </w:rPr>
        <w:t>.</w:t>
      </w:r>
      <w:r w:rsidR="007534FD" w:rsidRPr="008E781C">
        <w:rPr>
          <w:rStyle w:val="FootnoteReference"/>
          <w:lang w:val="en-GB"/>
        </w:rPr>
        <w:footnoteReference w:id="106"/>
      </w:r>
      <w:r w:rsidR="007534FD" w:rsidRPr="008E781C">
        <w:rPr>
          <w:lang w:val="en-GB"/>
        </w:rPr>
        <w:t xml:space="preserve"> The </w:t>
      </w:r>
      <w:r w:rsidR="007534FD" w:rsidRPr="008E781C">
        <w:rPr>
          <w:b/>
          <w:lang w:val="en-GB"/>
        </w:rPr>
        <w:t>renewal</w:t>
      </w:r>
      <w:r w:rsidR="007534FD" w:rsidRPr="008E781C">
        <w:rPr>
          <w:lang w:val="en-GB"/>
        </w:rPr>
        <w:t xml:space="preserve"> of such authorisation is explained in </w:t>
      </w:r>
      <w:r w:rsidR="007534FD" w:rsidRPr="008E781C">
        <w:rPr>
          <w:bCs w:val="0"/>
          <w:lang w:val="en-GB"/>
        </w:rPr>
        <w:t>Section II.3 of this Report (</w:t>
      </w:r>
      <w:r w:rsidR="007534FD" w:rsidRPr="008E781C">
        <w:rPr>
          <w:bCs w:val="0"/>
          <w:i/>
          <w:lang w:val="en-GB"/>
        </w:rPr>
        <w:t>‘Residence Phase</w:t>
      </w:r>
      <w:r w:rsidR="007534FD" w:rsidRPr="008E781C">
        <w:rPr>
          <w:bCs w:val="0"/>
          <w:lang w:val="en-GB"/>
        </w:rPr>
        <w:t>’).</w:t>
      </w:r>
      <w:r w:rsidRPr="008E781C">
        <w:rPr>
          <w:lang w:val="en-GB"/>
        </w:rPr>
        <w:t xml:space="preserve"> </w:t>
      </w:r>
      <w:r w:rsidR="00A25FF8" w:rsidRPr="008E781C">
        <w:rPr>
          <w:lang w:val="en-GB"/>
        </w:rPr>
        <w:t xml:space="preserve">If, on the </w:t>
      </w:r>
      <w:r w:rsidRPr="008E781C">
        <w:rPr>
          <w:lang w:val="en-GB"/>
        </w:rPr>
        <w:t>other hand</w:t>
      </w:r>
      <w:r w:rsidR="00A25FF8" w:rsidRPr="008E781C">
        <w:rPr>
          <w:lang w:val="en-GB"/>
        </w:rPr>
        <w:t xml:space="preserve">, the DGM does not approve the application for an investors’ residence authorisation, this decision is </w:t>
      </w:r>
      <w:r w:rsidR="00A25FF8" w:rsidRPr="008E781C">
        <w:rPr>
          <w:b/>
          <w:lang w:val="en-GB"/>
        </w:rPr>
        <w:t>subject to appeal</w:t>
      </w:r>
      <w:r w:rsidR="00A25FF8" w:rsidRPr="008E781C">
        <w:rPr>
          <w:lang w:val="en-GB"/>
        </w:rPr>
        <w:t>.</w:t>
      </w:r>
      <w:r w:rsidR="00A25FF8" w:rsidRPr="008E781C">
        <w:rPr>
          <w:rStyle w:val="FootnoteReference"/>
          <w:lang w:val="en-GB"/>
        </w:rPr>
        <w:footnoteReference w:id="107"/>
      </w:r>
      <w:r w:rsidR="00A25FF8" w:rsidRPr="008E781C">
        <w:rPr>
          <w:lang w:val="en-GB"/>
        </w:rPr>
        <w:t xml:space="preserve"> </w:t>
      </w:r>
      <w:r w:rsidR="00BC563C" w:rsidRPr="008E781C">
        <w:rPr>
          <w:lang w:val="en-GB"/>
        </w:rPr>
        <w:t xml:space="preserve">Appeals are explained below in this Section. </w:t>
      </w:r>
    </w:p>
    <w:p w14:paraId="2251AC60" w14:textId="77777777" w:rsidR="00BC563C" w:rsidRPr="008E781C" w:rsidRDefault="00BC563C" w:rsidP="00BC563C">
      <w:pPr>
        <w:pStyle w:val="MMultilevel"/>
        <w:numPr>
          <w:ilvl w:val="0"/>
          <w:numId w:val="0"/>
        </w:numPr>
        <w:rPr>
          <w:b/>
          <w:i/>
          <w:lang w:val="en-GB"/>
        </w:rPr>
      </w:pPr>
    </w:p>
    <w:p w14:paraId="2D2ADC9A" w14:textId="0D988855" w:rsidR="00260D3E" w:rsidRPr="008E781C" w:rsidRDefault="00260D3E" w:rsidP="00260D3E">
      <w:pPr>
        <w:pStyle w:val="MMultilevel"/>
        <w:numPr>
          <w:ilvl w:val="0"/>
          <w:numId w:val="12"/>
        </w:numPr>
        <w:rPr>
          <w:b/>
          <w:i/>
          <w:lang w:val="en-GB"/>
        </w:rPr>
      </w:pPr>
      <w:bookmarkStart w:id="14" w:name="fee"/>
      <w:r w:rsidRPr="008E781C">
        <w:rPr>
          <w:b/>
          <w:i/>
          <w:lang w:val="en-GB"/>
        </w:rPr>
        <w:t>Application fee</w:t>
      </w:r>
    </w:p>
    <w:bookmarkEnd w:id="14"/>
    <w:p w14:paraId="2FB2E458" w14:textId="4DF682E3" w:rsidR="00260D3E" w:rsidRPr="008E781C" w:rsidRDefault="00260D3E" w:rsidP="00260D3E">
      <w:pPr>
        <w:pStyle w:val="MMultilevel"/>
        <w:numPr>
          <w:ilvl w:val="0"/>
          <w:numId w:val="0"/>
        </w:numPr>
        <w:ind w:left="778"/>
        <w:rPr>
          <w:b/>
          <w:i/>
          <w:lang w:val="en-GB"/>
        </w:rPr>
      </w:pPr>
    </w:p>
    <w:p w14:paraId="71A75B32" w14:textId="6CE799A9" w:rsidR="00260D3E" w:rsidRPr="008E781C" w:rsidRDefault="00260D3E" w:rsidP="00260D3E">
      <w:pPr>
        <w:pStyle w:val="MMultilevel"/>
        <w:numPr>
          <w:ilvl w:val="0"/>
          <w:numId w:val="0"/>
        </w:numPr>
        <w:rPr>
          <w:lang w:val="en-GB"/>
        </w:rPr>
      </w:pPr>
      <w:r w:rsidRPr="008E781C">
        <w:rPr>
          <w:lang w:val="en-GB"/>
        </w:rPr>
        <w:t>To obtain the entry visa, as well as to obtain the investors’ residence authorisation a</w:t>
      </w:r>
      <w:r w:rsidR="00BA747F" w:rsidRPr="008E781C">
        <w:rPr>
          <w:lang w:val="en-GB"/>
        </w:rPr>
        <w:t xml:space="preserve"> </w:t>
      </w:r>
      <w:r w:rsidR="00BA747F" w:rsidRPr="008E781C">
        <w:rPr>
          <w:b/>
          <w:lang w:val="en-GB"/>
        </w:rPr>
        <w:t>non-refundable</w:t>
      </w:r>
      <w:r w:rsidRPr="008E781C">
        <w:rPr>
          <w:b/>
          <w:lang w:val="en-GB"/>
        </w:rPr>
        <w:t xml:space="preserve"> fee</w:t>
      </w:r>
      <w:r w:rsidRPr="008E781C">
        <w:rPr>
          <w:lang w:val="en-GB"/>
        </w:rPr>
        <w:t xml:space="preserve"> has to be paid.</w:t>
      </w:r>
      <w:r w:rsidR="0071235B" w:rsidRPr="008E781C">
        <w:rPr>
          <w:rStyle w:val="FootnoteReference"/>
          <w:lang w:val="en-GB"/>
        </w:rPr>
        <w:footnoteReference w:id="108"/>
      </w:r>
      <w:r w:rsidRPr="008E781C">
        <w:rPr>
          <w:lang w:val="en-GB"/>
        </w:rPr>
        <w:t xml:space="preserve"> The amount of the fee depends on the type of permit (i.e. visa or residence authorisation) being issued:</w:t>
      </w:r>
    </w:p>
    <w:p w14:paraId="050813D0" w14:textId="5A8ADA5F" w:rsidR="00260D3E" w:rsidRPr="008E781C" w:rsidRDefault="00260D3E" w:rsidP="009A1653">
      <w:pPr>
        <w:pStyle w:val="MMultilevel"/>
        <w:rPr>
          <w:lang w:val="en-GB"/>
        </w:rPr>
      </w:pPr>
      <w:r w:rsidRPr="008E781C">
        <w:rPr>
          <w:lang w:val="en-GB"/>
        </w:rPr>
        <w:t xml:space="preserve">For </w:t>
      </w:r>
      <w:r w:rsidR="0071235B" w:rsidRPr="008E781C">
        <w:rPr>
          <w:b/>
          <w:lang w:val="en-GB"/>
        </w:rPr>
        <w:t>investors’ residence visas</w:t>
      </w:r>
      <w:r w:rsidRPr="008E781C">
        <w:rPr>
          <w:lang w:val="en-GB"/>
        </w:rPr>
        <w:t>, applicant</w:t>
      </w:r>
      <w:r w:rsidR="0066082D" w:rsidRPr="008E781C">
        <w:rPr>
          <w:lang w:val="en-GB"/>
        </w:rPr>
        <w:t>s</w:t>
      </w:r>
      <w:r w:rsidRPr="008E781C">
        <w:rPr>
          <w:lang w:val="en-GB"/>
        </w:rPr>
        <w:t xml:space="preserve"> must pay a fee of </w:t>
      </w:r>
      <w:r w:rsidRPr="008E781C">
        <w:rPr>
          <w:b/>
          <w:lang w:val="en-GB"/>
        </w:rPr>
        <w:t>EUR 60</w:t>
      </w:r>
      <w:r w:rsidRPr="008E781C">
        <w:rPr>
          <w:lang w:val="en-GB"/>
        </w:rPr>
        <w:t>.</w:t>
      </w:r>
      <w:r w:rsidR="0071235B" w:rsidRPr="008E781C">
        <w:rPr>
          <w:rStyle w:val="FootnoteReference"/>
          <w:lang w:val="en-GB"/>
        </w:rPr>
        <w:footnoteReference w:id="109"/>
      </w:r>
    </w:p>
    <w:p w14:paraId="30AEB192" w14:textId="1BE856FE" w:rsidR="00260D3E" w:rsidRPr="008E781C" w:rsidRDefault="00260D3E" w:rsidP="009A1653">
      <w:pPr>
        <w:pStyle w:val="MMultilevel"/>
        <w:rPr>
          <w:lang w:val="en-GB"/>
        </w:rPr>
      </w:pPr>
      <w:r w:rsidRPr="008E781C">
        <w:rPr>
          <w:lang w:val="en-GB"/>
        </w:rPr>
        <w:t xml:space="preserve">For the </w:t>
      </w:r>
      <w:r w:rsidRPr="008E781C">
        <w:rPr>
          <w:b/>
          <w:lang w:val="en-GB"/>
        </w:rPr>
        <w:t>residence authorisation for investor</w:t>
      </w:r>
      <w:r w:rsidR="0066082D" w:rsidRPr="008E781C">
        <w:rPr>
          <w:b/>
          <w:lang w:val="en-GB"/>
        </w:rPr>
        <w:t>s</w:t>
      </w:r>
      <w:r w:rsidRPr="008E781C">
        <w:rPr>
          <w:lang w:val="en-GB"/>
        </w:rPr>
        <w:t>, applicant</w:t>
      </w:r>
      <w:r w:rsidR="0066082D" w:rsidRPr="008E781C">
        <w:rPr>
          <w:lang w:val="en-GB"/>
        </w:rPr>
        <w:t>s</w:t>
      </w:r>
      <w:r w:rsidRPr="008E781C">
        <w:rPr>
          <w:lang w:val="en-GB"/>
        </w:rPr>
        <w:t xml:space="preserve"> must pay EUR 70,40 and for </w:t>
      </w:r>
      <w:r w:rsidR="0071235B" w:rsidRPr="008E781C">
        <w:rPr>
          <w:lang w:val="en-GB"/>
        </w:rPr>
        <w:t>the renewal EUR 75,60.</w:t>
      </w:r>
      <w:r w:rsidR="0071235B" w:rsidRPr="008E781C">
        <w:rPr>
          <w:rStyle w:val="FootnoteReference"/>
          <w:lang w:val="en-GB"/>
        </w:rPr>
        <w:footnoteReference w:id="110"/>
      </w:r>
    </w:p>
    <w:p w14:paraId="12D266AE" w14:textId="77777777" w:rsidR="00260D3E" w:rsidRPr="008E781C" w:rsidRDefault="00260D3E" w:rsidP="005370CE">
      <w:pPr>
        <w:pStyle w:val="MMultilevel"/>
        <w:numPr>
          <w:ilvl w:val="0"/>
          <w:numId w:val="0"/>
        </w:numPr>
        <w:ind w:left="778"/>
        <w:rPr>
          <w:b/>
          <w:i/>
          <w:lang w:val="en-GB"/>
        </w:rPr>
      </w:pPr>
    </w:p>
    <w:p w14:paraId="0B2219F0" w14:textId="7CEED809" w:rsidR="00260D3E" w:rsidRPr="008E781C" w:rsidRDefault="00260D3E" w:rsidP="00260D3E">
      <w:pPr>
        <w:pStyle w:val="MMultilevel"/>
        <w:numPr>
          <w:ilvl w:val="0"/>
          <w:numId w:val="12"/>
        </w:numPr>
        <w:rPr>
          <w:b/>
          <w:i/>
          <w:lang w:val="en-GB"/>
        </w:rPr>
      </w:pPr>
      <w:r w:rsidRPr="008E781C">
        <w:rPr>
          <w:b/>
          <w:i/>
          <w:lang w:val="en-GB"/>
        </w:rPr>
        <w:t xml:space="preserve">Reasons for turning down the applications </w:t>
      </w:r>
    </w:p>
    <w:p w14:paraId="3285509E" w14:textId="217FFDD2" w:rsidR="006B65BA" w:rsidRPr="008E781C" w:rsidRDefault="006B65BA" w:rsidP="006B65BA">
      <w:pPr>
        <w:rPr>
          <w:b/>
          <w:i/>
          <w:sz w:val="22"/>
          <w:szCs w:val="22"/>
        </w:rPr>
      </w:pPr>
    </w:p>
    <w:p w14:paraId="22028C28" w14:textId="22C339EA" w:rsidR="004C70FE" w:rsidRPr="008E781C" w:rsidRDefault="002337CB" w:rsidP="005370CE">
      <w:pPr>
        <w:jc w:val="both"/>
        <w:rPr>
          <w:sz w:val="22"/>
          <w:szCs w:val="22"/>
        </w:rPr>
      </w:pPr>
      <w:r w:rsidRPr="008E781C">
        <w:rPr>
          <w:sz w:val="22"/>
          <w:szCs w:val="22"/>
        </w:rPr>
        <w:t xml:space="preserve">Article 32(1) Regulation 810/2009 </w:t>
      </w:r>
      <w:r w:rsidR="0066082D" w:rsidRPr="008E781C">
        <w:rPr>
          <w:sz w:val="22"/>
          <w:szCs w:val="22"/>
        </w:rPr>
        <w:t xml:space="preserve">provides </w:t>
      </w:r>
      <w:r w:rsidRPr="008E781C">
        <w:rPr>
          <w:sz w:val="22"/>
          <w:szCs w:val="22"/>
        </w:rPr>
        <w:t>that if</w:t>
      </w:r>
      <w:r w:rsidR="006B65BA" w:rsidRPr="008E781C">
        <w:rPr>
          <w:sz w:val="22"/>
          <w:szCs w:val="22"/>
        </w:rPr>
        <w:t xml:space="preserve"> the permit requested is an </w:t>
      </w:r>
      <w:r w:rsidR="006B65BA" w:rsidRPr="008E781C">
        <w:rPr>
          <w:b/>
          <w:sz w:val="22"/>
          <w:szCs w:val="22"/>
        </w:rPr>
        <w:t>investors’ residence visa</w:t>
      </w:r>
      <w:r w:rsidR="006B65BA" w:rsidRPr="008E781C">
        <w:rPr>
          <w:sz w:val="22"/>
          <w:szCs w:val="22"/>
        </w:rPr>
        <w:t>, the</w:t>
      </w:r>
      <w:r w:rsidRPr="008E781C">
        <w:rPr>
          <w:sz w:val="22"/>
          <w:szCs w:val="22"/>
        </w:rPr>
        <w:t xml:space="preserve"> application may be refused if the requirements to issue the visa are not fulfilled.</w:t>
      </w:r>
      <w:r w:rsidR="006B65BA" w:rsidRPr="008E781C">
        <w:rPr>
          <w:sz w:val="22"/>
          <w:szCs w:val="22"/>
        </w:rPr>
        <w:t xml:space="preserve"> </w:t>
      </w:r>
      <w:r w:rsidR="000F14C3" w:rsidRPr="008E781C">
        <w:rPr>
          <w:sz w:val="22"/>
          <w:szCs w:val="22"/>
        </w:rPr>
        <w:t xml:space="preserve">Law 14/2013 does not establish the reasons for which an application for an </w:t>
      </w:r>
      <w:r w:rsidR="000F14C3" w:rsidRPr="008E781C">
        <w:rPr>
          <w:b/>
          <w:sz w:val="22"/>
          <w:szCs w:val="22"/>
        </w:rPr>
        <w:t xml:space="preserve">investors’ residence authorisation </w:t>
      </w:r>
      <w:r w:rsidR="000F14C3" w:rsidRPr="008E781C">
        <w:rPr>
          <w:sz w:val="22"/>
          <w:szCs w:val="22"/>
        </w:rPr>
        <w:t>may be refused. However,</w:t>
      </w:r>
      <w:r w:rsidR="005C355D" w:rsidRPr="008E781C">
        <w:rPr>
          <w:sz w:val="22"/>
          <w:szCs w:val="22"/>
        </w:rPr>
        <w:t xml:space="preserve"> </w:t>
      </w:r>
      <w:r w:rsidR="00C733F9" w:rsidRPr="008E781C">
        <w:rPr>
          <w:sz w:val="22"/>
          <w:szCs w:val="22"/>
        </w:rPr>
        <w:t>in practice,</w:t>
      </w:r>
      <w:r w:rsidR="00534DAA" w:rsidRPr="008E781C">
        <w:rPr>
          <w:sz w:val="22"/>
          <w:szCs w:val="22"/>
        </w:rPr>
        <w:t xml:space="preserve"> the application will be turned down when the necessary conditions to issue the authorisation are not met and cannot be rectified. This derives from the general administrative law principle to provide the opportunity to rectify incomplete administrative acts (which </w:t>
      </w:r>
      <w:r w:rsidR="00C733F9" w:rsidRPr="008E781C">
        <w:rPr>
          <w:sz w:val="22"/>
          <w:szCs w:val="22"/>
        </w:rPr>
        <w:t xml:space="preserve">includes the </w:t>
      </w:r>
      <w:r w:rsidR="00534DAA" w:rsidRPr="008E781C">
        <w:rPr>
          <w:sz w:val="22"/>
          <w:szCs w:val="22"/>
        </w:rPr>
        <w:t>investors’ residence application).</w:t>
      </w:r>
      <w:r w:rsidR="00534DAA" w:rsidRPr="008E781C">
        <w:rPr>
          <w:rStyle w:val="FootnoteReference"/>
          <w:sz w:val="22"/>
          <w:szCs w:val="22"/>
        </w:rPr>
        <w:footnoteReference w:id="111"/>
      </w:r>
      <w:r w:rsidR="005C355D" w:rsidRPr="008E781C">
        <w:rPr>
          <w:sz w:val="22"/>
          <w:szCs w:val="22"/>
        </w:rPr>
        <w:t xml:space="preserve"> </w:t>
      </w:r>
    </w:p>
    <w:p w14:paraId="49E9982E" w14:textId="77777777" w:rsidR="006B65BA" w:rsidRPr="008E781C" w:rsidRDefault="006B65BA" w:rsidP="005370CE">
      <w:pPr>
        <w:rPr>
          <w:b/>
          <w:i/>
        </w:rPr>
      </w:pPr>
    </w:p>
    <w:p w14:paraId="71E2C9D4" w14:textId="22284D8C" w:rsidR="00260D3E" w:rsidRPr="008E781C" w:rsidRDefault="00BC563C" w:rsidP="00260D3E">
      <w:pPr>
        <w:pStyle w:val="MMultilevel"/>
        <w:numPr>
          <w:ilvl w:val="0"/>
          <w:numId w:val="12"/>
        </w:numPr>
        <w:rPr>
          <w:b/>
          <w:i/>
          <w:lang w:val="en-GB"/>
        </w:rPr>
      </w:pPr>
      <w:r w:rsidRPr="008E781C">
        <w:rPr>
          <w:b/>
          <w:i/>
          <w:lang w:val="en-GB"/>
        </w:rPr>
        <w:t>Possible legal remedy(ies)which apply in the case of refusal of residence</w:t>
      </w:r>
      <w:r w:rsidR="00260D3E" w:rsidRPr="008E781C">
        <w:rPr>
          <w:b/>
          <w:i/>
          <w:lang w:val="en-GB"/>
        </w:rPr>
        <w:t xml:space="preserve"> </w:t>
      </w:r>
    </w:p>
    <w:p w14:paraId="70C62E0C" w14:textId="7F68356F" w:rsidR="0071235B" w:rsidRPr="008E781C" w:rsidRDefault="0071235B" w:rsidP="00260D3E">
      <w:pPr>
        <w:pStyle w:val="MMultilevel"/>
        <w:numPr>
          <w:ilvl w:val="0"/>
          <w:numId w:val="0"/>
        </w:numPr>
        <w:rPr>
          <w:lang w:val="en-GB"/>
        </w:rPr>
      </w:pPr>
    </w:p>
    <w:p w14:paraId="3E1EF51B" w14:textId="2FAD9239" w:rsidR="00BC563C" w:rsidRPr="008E781C" w:rsidRDefault="00BC563C" w:rsidP="00BC563C">
      <w:pPr>
        <w:pStyle w:val="MBT"/>
        <w:rPr>
          <w:lang w:val="en-GB"/>
        </w:rPr>
      </w:pPr>
      <w:r w:rsidRPr="008E781C">
        <w:rPr>
          <w:lang w:val="en-GB"/>
        </w:rPr>
        <w:t xml:space="preserve">Appeals against a decision refusing an investors’ residence visa or an investors’ residence authorisation follow </w:t>
      </w:r>
      <w:r w:rsidRPr="008E781C">
        <w:rPr>
          <w:b/>
          <w:bCs w:val="0"/>
          <w:lang w:val="en-GB"/>
        </w:rPr>
        <w:t>the rules set in the general legislation on administrative procedure (Law 39/2015)</w:t>
      </w:r>
      <w:r w:rsidRPr="008E781C">
        <w:rPr>
          <w:lang w:val="en-GB"/>
        </w:rPr>
        <w:t>.</w:t>
      </w:r>
      <w:r w:rsidRPr="008E781C">
        <w:rPr>
          <w:rStyle w:val="FootnoteReference"/>
          <w:lang w:val="en-GB"/>
        </w:rPr>
        <w:footnoteReference w:id="112"/>
      </w:r>
      <w:r w:rsidRPr="008E781C">
        <w:rPr>
          <w:lang w:val="en-GB"/>
        </w:rPr>
        <w:t xml:space="preserve"> </w:t>
      </w:r>
      <w:r w:rsidR="009226EF" w:rsidRPr="008E781C">
        <w:rPr>
          <w:lang w:val="en-GB"/>
        </w:rPr>
        <w:t xml:space="preserve">There are two instances of appeals. The first instance resolves appeals on the decisions on the investors’ residence permit (whether a visa or an authorisation). This decision on the appeal in first instance may </w:t>
      </w:r>
      <w:r w:rsidR="009226EF" w:rsidRPr="008E781C">
        <w:rPr>
          <w:lang w:val="en-GB"/>
        </w:rPr>
        <w:lastRenderedPageBreak/>
        <w:t>be challenged in second instance.</w:t>
      </w:r>
    </w:p>
    <w:p w14:paraId="44ADEB12" w14:textId="30CF70DF" w:rsidR="00BC563C" w:rsidRPr="008E781C" w:rsidRDefault="00BC563C" w:rsidP="00BC563C">
      <w:pPr>
        <w:pStyle w:val="MBT"/>
        <w:rPr>
          <w:lang w:val="en-GB"/>
        </w:rPr>
      </w:pPr>
    </w:p>
    <w:p w14:paraId="2129DE86" w14:textId="3D7195FA" w:rsidR="009226EF" w:rsidRPr="008E781C" w:rsidRDefault="009226EF" w:rsidP="00BC563C">
      <w:pPr>
        <w:pStyle w:val="MBT"/>
        <w:rPr>
          <w:b/>
          <w:u w:val="single"/>
          <w:lang w:val="en-GB"/>
        </w:rPr>
      </w:pPr>
      <w:r w:rsidRPr="008E781C">
        <w:rPr>
          <w:b/>
          <w:u w:val="single"/>
          <w:lang w:val="en-GB"/>
        </w:rPr>
        <w:t>Appeals against decisions on investors’ residence visas</w:t>
      </w:r>
    </w:p>
    <w:p w14:paraId="5F1FD858" w14:textId="36917836" w:rsidR="00BC563C" w:rsidRPr="008E781C" w:rsidRDefault="00BC563C" w:rsidP="00BC563C">
      <w:pPr>
        <w:pStyle w:val="MBT"/>
        <w:rPr>
          <w:lang w:val="en-GB"/>
        </w:rPr>
      </w:pPr>
      <w:r w:rsidRPr="008E781C">
        <w:rPr>
          <w:lang w:val="en-GB"/>
        </w:rPr>
        <w:t xml:space="preserve">The appeal can be lodged </w:t>
      </w:r>
      <w:r w:rsidRPr="008E781C">
        <w:rPr>
          <w:b/>
          <w:bCs w:val="0"/>
          <w:lang w:val="en-GB"/>
        </w:rPr>
        <w:t>before the consulate/diplomatic mission or directly before the administrative courts</w:t>
      </w:r>
      <w:r w:rsidRPr="008E781C">
        <w:rPr>
          <w:rStyle w:val="FootnoteReference"/>
          <w:lang w:val="en-GB"/>
        </w:rPr>
        <w:footnoteReference w:id="113"/>
      </w:r>
      <w:r w:rsidRPr="008E781C">
        <w:rPr>
          <w:lang w:val="en-GB"/>
        </w:rPr>
        <w:t xml:space="preserve"> within one </w:t>
      </w:r>
      <w:r w:rsidRPr="008E781C">
        <w:rPr>
          <w:b/>
          <w:bCs w:val="0"/>
          <w:lang w:val="en-GB"/>
        </w:rPr>
        <w:t>month after the decision has been issued and notified</w:t>
      </w:r>
      <w:r w:rsidRPr="008E781C">
        <w:rPr>
          <w:lang w:val="en-GB"/>
        </w:rPr>
        <w:t>.</w:t>
      </w:r>
      <w:r w:rsidRPr="008E781C">
        <w:rPr>
          <w:rStyle w:val="FootnoteReference"/>
          <w:lang w:val="en-GB"/>
        </w:rPr>
        <w:footnoteReference w:id="114"/>
      </w:r>
      <w:r w:rsidRPr="008E781C">
        <w:rPr>
          <w:lang w:val="en-GB"/>
        </w:rPr>
        <w:t xml:space="preserve"> When a decision should have been issued but it has not (‘administrative silence’), the appeal can be filed as of the day after the decision should have been issued (i.e. ten days after the application for an investors’ residence visa was filed).</w:t>
      </w:r>
      <w:r w:rsidRPr="008E781C">
        <w:rPr>
          <w:rStyle w:val="FootnoteReference"/>
          <w:lang w:val="en-GB"/>
        </w:rPr>
        <w:footnoteReference w:id="115"/>
      </w:r>
      <w:r w:rsidRPr="008E781C">
        <w:rPr>
          <w:lang w:val="en-GB"/>
        </w:rPr>
        <w:t xml:space="preserve"> The </w:t>
      </w:r>
      <w:r w:rsidRPr="008E781C">
        <w:rPr>
          <w:b/>
          <w:bCs w:val="0"/>
          <w:lang w:val="en-GB"/>
        </w:rPr>
        <w:t>maximum period to decide</w:t>
      </w:r>
      <w:r w:rsidRPr="008E781C">
        <w:rPr>
          <w:lang w:val="en-GB"/>
        </w:rPr>
        <w:t xml:space="preserve"> on the</w:t>
      </w:r>
      <w:r w:rsidRPr="008E781C">
        <w:rPr>
          <w:i/>
          <w:lang w:val="en-GB"/>
        </w:rPr>
        <w:t xml:space="preserve"> </w:t>
      </w:r>
      <w:r w:rsidRPr="008E781C">
        <w:rPr>
          <w:lang w:val="en-GB"/>
        </w:rPr>
        <w:t xml:space="preserve">appeal and notify the decision is of </w:t>
      </w:r>
      <w:r w:rsidRPr="008E781C">
        <w:rPr>
          <w:b/>
          <w:lang w:val="en-GB"/>
        </w:rPr>
        <w:t>one month</w:t>
      </w:r>
      <w:r w:rsidRPr="008E781C">
        <w:rPr>
          <w:lang w:val="en-GB"/>
        </w:rPr>
        <w:t xml:space="preserve"> from the filing of the appeal.</w:t>
      </w:r>
      <w:r w:rsidRPr="008E781C">
        <w:rPr>
          <w:rStyle w:val="FootnoteReference"/>
          <w:lang w:val="en-GB"/>
        </w:rPr>
        <w:footnoteReference w:id="116"/>
      </w:r>
      <w:r w:rsidRPr="008E781C">
        <w:rPr>
          <w:lang w:val="en-GB"/>
        </w:rPr>
        <w:t xml:space="preserve"> This decision can be </w:t>
      </w:r>
      <w:r w:rsidRPr="008E781C">
        <w:rPr>
          <w:b/>
          <w:bCs w:val="0"/>
          <w:lang w:val="en-GB"/>
        </w:rPr>
        <w:t>appealed in second instance</w:t>
      </w:r>
      <w:r w:rsidRPr="008E781C">
        <w:rPr>
          <w:lang w:val="en-GB"/>
        </w:rPr>
        <w:t xml:space="preserve"> either by lodging another appeal</w:t>
      </w:r>
      <w:r w:rsidRPr="008E781C">
        <w:rPr>
          <w:rStyle w:val="FootnoteReference"/>
          <w:lang w:val="en-GB"/>
        </w:rPr>
        <w:footnoteReference w:id="117"/>
      </w:r>
      <w:r w:rsidRPr="008E781C">
        <w:rPr>
          <w:lang w:val="en-GB"/>
        </w:rPr>
        <w:t xml:space="preserve"> before the same authority (the consulate) or directly before the administrative courts</w:t>
      </w:r>
      <w:r w:rsidR="009226EF" w:rsidRPr="008E781C">
        <w:rPr>
          <w:lang w:val="en-GB"/>
        </w:rPr>
        <w:t xml:space="preserve"> (</w:t>
      </w:r>
      <w:r w:rsidR="0066082D" w:rsidRPr="008E781C">
        <w:rPr>
          <w:lang w:val="en-GB"/>
        </w:rPr>
        <w:t>as</w:t>
      </w:r>
      <w:r w:rsidR="009226EF" w:rsidRPr="008E781C">
        <w:rPr>
          <w:lang w:val="en-GB"/>
        </w:rPr>
        <w:t xml:space="preserve"> explained below).</w:t>
      </w:r>
      <w:r w:rsidRPr="008E781C">
        <w:rPr>
          <w:lang w:val="en-GB"/>
        </w:rPr>
        <w:t xml:space="preserve"> </w:t>
      </w:r>
    </w:p>
    <w:p w14:paraId="256B9527" w14:textId="49936DEA" w:rsidR="00BC563C" w:rsidRPr="008E781C" w:rsidRDefault="00BC563C" w:rsidP="00BC563C">
      <w:pPr>
        <w:pStyle w:val="MMultilevel"/>
        <w:numPr>
          <w:ilvl w:val="0"/>
          <w:numId w:val="0"/>
        </w:numPr>
        <w:rPr>
          <w:lang w:val="en-GB"/>
        </w:rPr>
      </w:pPr>
    </w:p>
    <w:p w14:paraId="1AA50839" w14:textId="1B2C25C0" w:rsidR="009226EF" w:rsidRPr="008E781C" w:rsidRDefault="009226EF" w:rsidP="009226EF">
      <w:pPr>
        <w:pStyle w:val="MBT"/>
        <w:rPr>
          <w:b/>
          <w:u w:val="single"/>
          <w:lang w:val="en-GB"/>
        </w:rPr>
      </w:pPr>
      <w:r w:rsidRPr="008E781C">
        <w:rPr>
          <w:b/>
          <w:u w:val="single"/>
          <w:lang w:val="en-GB"/>
        </w:rPr>
        <w:t>Appeals against decisions on investors’ residence authorisation</w:t>
      </w:r>
    </w:p>
    <w:p w14:paraId="0E341722" w14:textId="51CB13A9" w:rsidR="00BC563C" w:rsidRPr="008E781C" w:rsidRDefault="00BC563C" w:rsidP="00260D3E">
      <w:pPr>
        <w:pStyle w:val="MMultilevel"/>
        <w:numPr>
          <w:ilvl w:val="0"/>
          <w:numId w:val="0"/>
        </w:numPr>
        <w:rPr>
          <w:lang w:val="en-GB"/>
        </w:rPr>
      </w:pPr>
      <w:r w:rsidRPr="008E781C">
        <w:rPr>
          <w:lang w:val="en-GB"/>
        </w:rPr>
        <w:t xml:space="preserve">The first instance resolves appeals on the DGM’s decision on the investors’ residence authorisation. The </w:t>
      </w:r>
      <w:r w:rsidRPr="008E781C">
        <w:rPr>
          <w:b/>
          <w:lang w:val="en-GB"/>
        </w:rPr>
        <w:t>competent authority to decide on the appeal in first instance</w:t>
      </w:r>
      <w:r w:rsidRPr="008E781C">
        <w:rPr>
          <w:lang w:val="en-GB"/>
        </w:rPr>
        <w:t xml:space="preserve"> is the body hierarchically superior to </w:t>
      </w:r>
      <w:r w:rsidR="0066082D" w:rsidRPr="008E781C">
        <w:rPr>
          <w:lang w:val="en-GB"/>
        </w:rPr>
        <w:t xml:space="preserve">the </w:t>
      </w:r>
      <w:r w:rsidRPr="008E781C">
        <w:rPr>
          <w:lang w:val="en-GB"/>
        </w:rPr>
        <w:t xml:space="preserve">authority </w:t>
      </w:r>
      <w:r w:rsidR="0066082D" w:rsidRPr="008E781C">
        <w:rPr>
          <w:lang w:val="en-GB"/>
        </w:rPr>
        <w:t xml:space="preserve">that </w:t>
      </w:r>
      <w:r w:rsidRPr="008E781C">
        <w:rPr>
          <w:lang w:val="en-GB"/>
        </w:rPr>
        <w:t>issued the decision which is being appealed</w:t>
      </w:r>
      <w:r w:rsidRPr="008E781C">
        <w:rPr>
          <w:rStyle w:val="FootnoteReference"/>
          <w:lang w:val="en-GB"/>
        </w:rPr>
        <w:footnoteReference w:id="118"/>
      </w:r>
      <w:r w:rsidRPr="008E781C">
        <w:rPr>
          <w:lang w:val="en-GB"/>
        </w:rPr>
        <w:t xml:space="preserve"> - in this case, the </w:t>
      </w:r>
      <w:r w:rsidRPr="008E781C">
        <w:rPr>
          <w:b/>
          <w:lang w:val="en-GB"/>
        </w:rPr>
        <w:t>General Secretariat on Migration</w:t>
      </w:r>
      <w:r w:rsidRPr="008E781C">
        <w:rPr>
          <w:lang w:val="en-GB"/>
        </w:rPr>
        <w:t xml:space="preserve">. The appeal may be </w:t>
      </w:r>
      <w:r w:rsidRPr="008E781C">
        <w:rPr>
          <w:b/>
          <w:lang w:val="en-GB"/>
        </w:rPr>
        <w:t>lodged</w:t>
      </w:r>
      <w:r w:rsidRPr="008E781C">
        <w:rPr>
          <w:lang w:val="en-GB"/>
        </w:rPr>
        <w:t xml:space="preserve"> before the DGM or, directly, before the General Secretariat on Migration</w:t>
      </w:r>
      <w:r w:rsidRPr="008E781C">
        <w:rPr>
          <w:rStyle w:val="FootnoteReference"/>
          <w:lang w:val="en-GB"/>
        </w:rPr>
        <w:footnoteReference w:id="119"/>
      </w:r>
      <w:r w:rsidRPr="008E781C">
        <w:rPr>
          <w:lang w:val="en-GB"/>
        </w:rPr>
        <w:t xml:space="preserve"> in the month after the decision of the DGM was issued.</w:t>
      </w:r>
      <w:r w:rsidRPr="008E781C">
        <w:rPr>
          <w:rStyle w:val="FootnoteReference"/>
          <w:lang w:val="en-GB"/>
        </w:rPr>
        <w:footnoteReference w:id="120"/>
      </w:r>
      <w:r w:rsidRPr="008E781C">
        <w:rPr>
          <w:lang w:val="en-GB"/>
        </w:rPr>
        <w:t xml:space="preserve"> If the appeal has been filed with the DGM, the DGM must forward the appeal to the General Secretariat on Migration in the ten days following the filing of the appeal together with its opinion on the matter.</w:t>
      </w:r>
      <w:r w:rsidRPr="008E781C">
        <w:rPr>
          <w:rStyle w:val="FootnoteReference"/>
          <w:lang w:val="en-GB"/>
        </w:rPr>
        <w:footnoteReference w:id="121"/>
      </w:r>
      <w:r w:rsidRPr="008E781C">
        <w:rPr>
          <w:lang w:val="en-GB"/>
        </w:rPr>
        <w:t xml:space="preserve"> The General Secretariat on Migration has </w:t>
      </w:r>
      <w:r w:rsidRPr="008E781C">
        <w:rPr>
          <w:b/>
          <w:lang w:val="en-GB"/>
        </w:rPr>
        <w:t>three months</w:t>
      </w:r>
      <w:r w:rsidRPr="008E781C">
        <w:rPr>
          <w:lang w:val="en-GB"/>
        </w:rPr>
        <w:t xml:space="preserve"> </w:t>
      </w:r>
      <w:r w:rsidR="0066082D" w:rsidRPr="008E781C">
        <w:rPr>
          <w:lang w:val="en-GB"/>
        </w:rPr>
        <w:t xml:space="preserve">from </w:t>
      </w:r>
      <w:r w:rsidRPr="008E781C">
        <w:rPr>
          <w:lang w:val="en-GB"/>
        </w:rPr>
        <w:t>the filing of the appeal to issue and notify a decision. If no decision is issued, the appeal is deemed to be rejected (‘negative administrative silence’).</w:t>
      </w:r>
      <w:r w:rsidRPr="008E781C">
        <w:rPr>
          <w:rStyle w:val="FootnoteReference"/>
          <w:lang w:val="en-GB"/>
        </w:rPr>
        <w:footnoteReference w:id="122"/>
      </w:r>
      <w:r w:rsidRPr="008E781C">
        <w:rPr>
          <w:lang w:val="en-GB"/>
        </w:rPr>
        <w:t xml:space="preserve"> The decision of the General Secretariat on Migration cannot be appealed,</w:t>
      </w:r>
      <w:r w:rsidRPr="008E781C">
        <w:rPr>
          <w:rStyle w:val="FootnoteReference"/>
          <w:lang w:val="en-GB"/>
        </w:rPr>
        <w:footnoteReference w:id="123"/>
      </w:r>
      <w:r w:rsidRPr="008E781C">
        <w:rPr>
          <w:lang w:val="en-GB"/>
        </w:rPr>
        <w:t xml:space="preserve"> except for the appeal that can be filed in second instance before the administrative courts.</w:t>
      </w:r>
      <w:r w:rsidRPr="008E781C">
        <w:rPr>
          <w:rStyle w:val="FootnoteReference"/>
          <w:lang w:val="en-GB"/>
        </w:rPr>
        <w:footnoteReference w:id="124"/>
      </w:r>
      <w:r w:rsidRPr="008E781C">
        <w:rPr>
          <w:lang w:val="en-GB"/>
        </w:rPr>
        <w:t xml:space="preserve"> </w:t>
      </w:r>
    </w:p>
    <w:p w14:paraId="76BE0B64" w14:textId="77777777" w:rsidR="00777319" w:rsidRPr="008E781C" w:rsidRDefault="00777319" w:rsidP="00260D3E">
      <w:pPr>
        <w:pStyle w:val="MMultilevel"/>
        <w:numPr>
          <w:ilvl w:val="0"/>
          <w:numId w:val="0"/>
        </w:numPr>
        <w:rPr>
          <w:lang w:val="en-GB"/>
        </w:rPr>
      </w:pPr>
    </w:p>
    <w:p w14:paraId="51D4A9F1" w14:textId="12C450E2" w:rsidR="009226EF" w:rsidRPr="008E781C" w:rsidRDefault="009226EF" w:rsidP="00260D3E">
      <w:pPr>
        <w:pStyle w:val="MMultilevel"/>
        <w:numPr>
          <w:ilvl w:val="0"/>
          <w:numId w:val="0"/>
        </w:numPr>
        <w:rPr>
          <w:b/>
          <w:u w:val="single"/>
          <w:lang w:val="en-GB"/>
        </w:rPr>
      </w:pPr>
      <w:r w:rsidRPr="008E781C">
        <w:rPr>
          <w:b/>
          <w:u w:val="single"/>
          <w:lang w:val="en-GB"/>
        </w:rPr>
        <w:t>Legitimised parties to file an appeal</w:t>
      </w:r>
    </w:p>
    <w:p w14:paraId="21EE8BEC" w14:textId="5A7093B1" w:rsidR="00260D3E" w:rsidRPr="008E781C" w:rsidRDefault="0071235B" w:rsidP="00260D3E">
      <w:pPr>
        <w:pStyle w:val="MMultilevel"/>
        <w:numPr>
          <w:ilvl w:val="0"/>
          <w:numId w:val="0"/>
        </w:numPr>
        <w:rPr>
          <w:lang w:val="en-GB"/>
        </w:rPr>
      </w:pPr>
      <w:r w:rsidRPr="008E781C">
        <w:rPr>
          <w:lang w:val="en-GB"/>
        </w:rPr>
        <w:t xml:space="preserve">Since </w:t>
      </w:r>
      <w:r w:rsidR="009226EF" w:rsidRPr="008E781C">
        <w:rPr>
          <w:lang w:val="en-GB"/>
        </w:rPr>
        <w:t xml:space="preserve">investors’ residence </w:t>
      </w:r>
      <w:r w:rsidRPr="008E781C">
        <w:rPr>
          <w:lang w:val="en-GB"/>
        </w:rPr>
        <w:t>permits</w:t>
      </w:r>
      <w:r w:rsidR="009226EF" w:rsidRPr="008E781C">
        <w:rPr>
          <w:lang w:val="en-GB"/>
        </w:rPr>
        <w:t xml:space="preserve"> (whether a visa or an authorisation)</w:t>
      </w:r>
      <w:r w:rsidRPr="008E781C">
        <w:rPr>
          <w:lang w:val="en-GB"/>
        </w:rPr>
        <w:t xml:space="preserve"> are administrative </w:t>
      </w:r>
      <w:r w:rsidR="009C6285" w:rsidRPr="008E781C">
        <w:rPr>
          <w:lang w:val="en-GB"/>
        </w:rPr>
        <w:t>acts</w:t>
      </w:r>
      <w:r w:rsidRPr="008E781C">
        <w:rPr>
          <w:lang w:val="en-GB"/>
        </w:rPr>
        <w:t>, the parties legitimised to file such appeals are those recognised in the general administrative procedure law (39/2015). They are</w:t>
      </w:r>
      <w:r w:rsidR="008734B0" w:rsidRPr="008E781C">
        <w:rPr>
          <w:lang w:val="en-GB"/>
        </w:rPr>
        <w:t xml:space="preserve"> those who qualify as ‘interested parties’</w:t>
      </w:r>
      <w:r w:rsidRPr="008E781C">
        <w:rPr>
          <w:lang w:val="en-GB"/>
        </w:rPr>
        <w:t>:</w:t>
      </w:r>
      <w:r w:rsidR="00744DAD" w:rsidRPr="008E781C">
        <w:rPr>
          <w:rStyle w:val="FootnoteReference"/>
          <w:lang w:val="en-GB"/>
        </w:rPr>
        <w:footnoteReference w:id="125"/>
      </w:r>
    </w:p>
    <w:p w14:paraId="206BD916" w14:textId="34AFFBC6" w:rsidR="008734B0" w:rsidRPr="008E781C" w:rsidRDefault="008734B0" w:rsidP="00715F02">
      <w:pPr>
        <w:pStyle w:val="MMultilevel"/>
        <w:rPr>
          <w:lang w:val="en-GB"/>
        </w:rPr>
      </w:pPr>
      <w:r w:rsidRPr="008E781C">
        <w:rPr>
          <w:lang w:val="en-GB"/>
        </w:rPr>
        <w:t>Those who launch the proceedings (in this case, the foreign investor or, where applicable, his/her representative);</w:t>
      </w:r>
    </w:p>
    <w:p w14:paraId="5E5AB31E" w14:textId="1FF988EC" w:rsidR="008734B0" w:rsidRPr="008E781C" w:rsidRDefault="008734B0" w:rsidP="00715F02">
      <w:pPr>
        <w:pStyle w:val="MMultilevel"/>
        <w:rPr>
          <w:lang w:val="en-GB"/>
        </w:rPr>
      </w:pPr>
      <w:r w:rsidRPr="008E781C">
        <w:rPr>
          <w:lang w:val="en-GB"/>
        </w:rPr>
        <w:t xml:space="preserve">Those who, without launching the proceedings, could </w:t>
      </w:r>
      <w:r w:rsidR="009C6285" w:rsidRPr="008E781C">
        <w:rPr>
          <w:lang w:val="en-GB"/>
        </w:rPr>
        <w:t xml:space="preserve">be </w:t>
      </w:r>
      <w:r w:rsidRPr="008E781C">
        <w:rPr>
          <w:lang w:val="en-GB"/>
        </w:rPr>
        <w:t>affected by the decision therein taken (for example, the family members of the foreign investor);</w:t>
      </w:r>
    </w:p>
    <w:p w14:paraId="52874168" w14:textId="43069203" w:rsidR="008734B0" w:rsidRPr="008E781C" w:rsidRDefault="008734B0" w:rsidP="00715F02">
      <w:pPr>
        <w:pStyle w:val="MMultilevel"/>
        <w:rPr>
          <w:lang w:val="en-GB"/>
        </w:rPr>
      </w:pPr>
      <w:r w:rsidRPr="008E781C">
        <w:rPr>
          <w:lang w:val="en-GB"/>
        </w:rPr>
        <w:t xml:space="preserve">Those whose legitimate interests, whether individual or collectively (including associations and organizations representing economic and social interests), could </w:t>
      </w:r>
      <w:r w:rsidR="009C6285" w:rsidRPr="008E781C">
        <w:rPr>
          <w:lang w:val="en-GB"/>
        </w:rPr>
        <w:t xml:space="preserve">be </w:t>
      </w:r>
      <w:r w:rsidRPr="008E781C">
        <w:rPr>
          <w:lang w:val="en-GB"/>
        </w:rPr>
        <w:t>affected by the decision of the administrative proceedings and request to be a party to the proceedings (for example, a union of a certain economic sector could request to participate in the proceedings as their interests could be affected by the granting/rejection of a permit to an investor).</w:t>
      </w:r>
    </w:p>
    <w:p w14:paraId="52901D21" w14:textId="77777777" w:rsidR="003B3938" w:rsidRPr="008E781C" w:rsidRDefault="003B3938" w:rsidP="00204BA5">
      <w:pPr>
        <w:pStyle w:val="MBT"/>
        <w:rPr>
          <w:lang w:val="en-GB"/>
        </w:rPr>
      </w:pPr>
    </w:p>
    <w:p w14:paraId="79C863AE" w14:textId="3DE66C9D" w:rsidR="00B311A7" w:rsidRPr="008E781C" w:rsidRDefault="00B311A7" w:rsidP="0001799A">
      <w:pPr>
        <w:pStyle w:val="MH2"/>
        <w:outlineLvl w:val="9"/>
      </w:pPr>
      <w:bookmarkStart w:id="15" w:name="_Hlk496121285"/>
      <w:r w:rsidRPr="008E781C">
        <w:lastRenderedPageBreak/>
        <w:t>Competent authorities</w:t>
      </w:r>
      <w:r w:rsidR="00B65D4C" w:rsidRPr="008E781C">
        <w:t xml:space="preserve"> AND NON-PUBLIC BODIES</w:t>
      </w:r>
    </w:p>
    <w:bookmarkEnd w:id="15"/>
    <w:p w14:paraId="5F327E59" w14:textId="672D7CC5" w:rsidR="00823F54" w:rsidRPr="008E781C" w:rsidRDefault="008F2625" w:rsidP="00E35649">
      <w:pPr>
        <w:pStyle w:val="MMultilevel"/>
        <w:numPr>
          <w:ilvl w:val="0"/>
          <w:numId w:val="0"/>
        </w:numPr>
        <w:rPr>
          <w:color w:val="000000" w:themeColor="text1"/>
          <w:lang w:val="en-GB"/>
        </w:rPr>
      </w:pPr>
      <w:r w:rsidRPr="008E781C">
        <w:rPr>
          <w:color w:val="000000" w:themeColor="text1"/>
          <w:lang w:val="en-GB"/>
        </w:rPr>
        <w:t>Table 2</w:t>
      </w:r>
      <w:r w:rsidR="00823F54" w:rsidRPr="008E781C">
        <w:rPr>
          <w:color w:val="000000" w:themeColor="text1"/>
          <w:lang w:val="en-GB"/>
        </w:rPr>
        <w:t xml:space="preserve"> below provides</w:t>
      </w:r>
      <w:r w:rsidRPr="008E781C">
        <w:rPr>
          <w:color w:val="000000" w:themeColor="text1"/>
          <w:lang w:val="en-GB"/>
        </w:rPr>
        <w:t xml:space="preserve"> an overview of</w:t>
      </w:r>
      <w:r w:rsidR="00823F54" w:rsidRPr="008E781C">
        <w:rPr>
          <w:color w:val="000000" w:themeColor="text1"/>
          <w:lang w:val="en-GB"/>
        </w:rPr>
        <w:t xml:space="preserve"> the competent authorities per stage of the procedure and type of permit, as well as the authorities that can be consulted</w:t>
      </w:r>
      <w:r w:rsidR="009226EF" w:rsidRPr="008E781C">
        <w:rPr>
          <w:color w:val="000000" w:themeColor="text1"/>
          <w:lang w:val="en-GB"/>
        </w:rPr>
        <w:t xml:space="preserve">. Only the permits which are specific </w:t>
      </w:r>
      <w:r w:rsidR="009C6285" w:rsidRPr="008E781C">
        <w:rPr>
          <w:color w:val="000000" w:themeColor="text1"/>
          <w:lang w:val="en-GB"/>
        </w:rPr>
        <w:t xml:space="preserve">to </w:t>
      </w:r>
      <w:r w:rsidR="009226EF" w:rsidRPr="008E781C">
        <w:rPr>
          <w:color w:val="000000" w:themeColor="text1"/>
          <w:lang w:val="en-GB"/>
        </w:rPr>
        <w:t xml:space="preserve">investors are </w:t>
      </w:r>
      <w:r w:rsidR="009C6285" w:rsidRPr="008E781C">
        <w:rPr>
          <w:color w:val="000000" w:themeColor="text1"/>
          <w:lang w:val="en-GB"/>
        </w:rPr>
        <w:t xml:space="preserve">covered </w:t>
      </w:r>
      <w:r w:rsidR="009226EF" w:rsidRPr="008E781C">
        <w:rPr>
          <w:color w:val="000000" w:themeColor="text1"/>
          <w:lang w:val="en-GB"/>
        </w:rPr>
        <w:t xml:space="preserve">in the table, although, as explained in Section I, foreign investors may also, as any other third-country national apply </w:t>
      </w:r>
      <w:r w:rsidR="009C6285" w:rsidRPr="008E781C">
        <w:rPr>
          <w:color w:val="000000" w:themeColor="text1"/>
          <w:lang w:val="en-GB"/>
        </w:rPr>
        <w:t xml:space="preserve">for </w:t>
      </w:r>
      <w:r w:rsidR="009226EF" w:rsidRPr="008E781C">
        <w:rPr>
          <w:color w:val="000000" w:themeColor="text1"/>
          <w:lang w:val="en-GB"/>
        </w:rPr>
        <w:t>long-term residence</w:t>
      </w:r>
      <w:r w:rsidR="00B32D78" w:rsidRPr="008E781C">
        <w:rPr>
          <w:color w:val="000000" w:themeColor="text1"/>
          <w:lang w:val="en-GB"/>
        </w:rPr>
        <w:t xml:space="preserve"> and other visas for their entry into Spain</w:t>
      </w:r>
      <w:r w:rsidR="009226EF" w:rsidRPr="008E781C">
        <w:rPr>
          <w:color w:val="000000" w:themeColor="text1"/>
          <w:lang w:val="en-GB"/>
        </w:rPr>
        <w:t>.</w:t>
      </w:r>
    </w:p>
    <w:p w14:paraId="6137444C" w14:textId="3C6ADFB3" w:rsidR="00823F54" w:rsidRPr="008E781C" w:rsidRDefault="00823F54" w:rsidP="00E35649">
      <w:pPr>
        <w:pStyle w:val="MMultilevel"/>
        <w:numPr>
          <w:ilvl w:val="0"/>
          <w:numId w:val="0"/>
        </w:numPr>
        <w:rPr>
          <w:color w:val="000000" w:themeColor="text1"/>
          <w:lang w:val="en-GB"/>
        </w:rPr>
      </w:pPr>
    </w:p>
    <w:p w14:paraId="4AB400DB" w14:textId="0B793BE0" w:rsidR="00F62546" w:rsidRPr="008E781C" w:rsidRDefault="00F62546" w:rsidP="005370CE">
      <w:pPr>
        <w:pStyle w:val="Caption"/>
        <w:keepNext/>
      </w:pPr>
      <w:r w:rsidRPr="008E781C">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2</w:t>
      </w:r>
      <w:r w:rsidR="00697A0F" w:rsidRPr="008E781C">
        <w:rPr>
          <w:noProof/>
        </w:rPr>
        <w:fldChar w:fldCharType="end"/>
      </w:r>
      <w:r w:rsidRPr="008E781C">
        <w:t xml:space="preserve"> Competent authority per stage of the procedure and type of permit</w:t>
      </w: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265"/>
        <w:gridCol w:w="1844"/>
        <w:gridCol w:w="1984"/>
        <w:gridCol w:w="3913"/>
      </w:tblGrid>
      <w:tr w:rsidR="00F21446" w:rsidRPr="008E781C" w14:paraId="61AE66D3" w14:textId="77777777" w:rsidTr="00F21446">
        <w:trPr>
          <w:tblHeader/>
        </w:trPr>
        <w:tc>
          <w:tcPr>
            <w:tcW w:w="1265" w:type="dxa"/>
            <w:shd w:val="clear" w:color="auto" w:fill="4F81BD" w:themeFill="accent1"/>
            <w:vAlign w:val="center"/>
          </w:tcPr>
          <w:p w14:paraId="3CDFEA8A" w14:textId="725D9ED1" w:rsidR="00823F54" w:rsidRPr="008E781C" w:rsidRDefault="00823F54" w:rsidP="00F21446">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Stage of the procedure</w:t>
            </w:r>
          </w:p>
        </w:tc>
        <w:tc>
          <w:tcPr>
            <w:tcW w:w="1844" w:type="dxa"/>
            <w:shd w:val="clear" w:color="auto" w:fill="4F81BD" w:themeFill="accent1"/>
            <w:vAlign w:val="center"/>
          </w:tcPr>
          <w:p w14:paraId="753578BC" w14:textId="0028600D" w:rsidR="00823F54" w:rsidRPr="008E781C" w:rsidRDefault="00823F54" w:rsidP="00F21446">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Type of permit</w:t>
            </w:r>
          </w:p>
        </w:tc>
        <w:tc>
          <w:tcPr>
            <w:tcW w:w="1984" w:type="dxa"/>
            <w:shd w:val="clear" w:color="auto" w:fill="4F81BD" w:themeFill="accent1"/>
            <w:vAlign w:val="center"/>
          </w:tcPr>
          <w:p w14:paraId="1F65C4E0" w14:textId="37A4E104" w:rsidR="00823F54" w:rsidRPr="008E781C" w:rsidRDefault="00823F54" w:rsidP="00F21446">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Competent authority</w:t>
            </w:r>
          </w:p>
        </w:tc>
        <w:tc>
          <w:tcPr>
            <w:tcW w:w="3913" w:type="dxa"/>
            <w:shd w:val="clear" w:color="auto" w:fill="4F81BD" w:themeFill="accent1"/>
            <w:vAlign w:val="center"/>
          </w:tcPr>
          <w:p w14:paraId="1E3E9387" w14:textId="20BD4BAB" w:rsidR="00823F54" w:rsidRPr="008E781C" w:rsidRDefault="00823F54" w:rsidP="00F21446">
            <w:pPr>
              <w:pStyle w:val="MMultilevel"/>
              <w:numPr>
                <w:ilvl w:val="0"/>
                <w:numId w:val="0"/>
              </w:numPr>
              <w:spacing w:before="60" w:after="60"/>
              <w:jc w:val="cente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Authorities consulted</w:t>
            </w:r>
          </w:p>
        </w:tc>
      </w:tr>
      <w:tr w:rsidR="00777319" w:rsidRPr="008E781C" w14:paraId="0C3B2C86" w14:textId="77777777" w:rsidTr="00777319">
        <w:trPr>
          <w:trHeight w:val="7082"/>
        </w:trPr>
        <w:tc>
          <w:tcPr>
            <w:tcW w:w="1265" w:type="dxa"/>
            <w:shd w:val="clear" w:color="auto" w:fill="95B3D7" w:themeFill="accent1" w:themeFillTint="99"/>
          </w:tcPr>
          <w:p w14:paraId="7AABA31C" w14:textId="5B00B2BB" w:rsidR="00777319" w:rsidRPr="008E781C" w:rsidRDefault="00777319" w:rsidP="00E35649">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Entry</w:t>
            </w:r>
          </w:p>
        </w:tc>
        <w:tc>
          <w:tcPr>
            <w:tcW w:w="1844" w:type="dxa"/>
            <w:shd w:val="clear" w:color="auto" w:fill="DBE5F1" w:themeFill="accent1" w:themeFillTint="33"/>
          </w:tcPr>
          <w:p w14:paraId="259D700B" w14:textId="07CC6A66" w:rsidR="00777319" w:rsidRPr="008E781C" w:rsidRDefault="00777319" w:rsidP="00E35649">
            <w:pPr>
              <w:pStyle w:val="MMultilevel"/>
              <w:ind w:left="0"/>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Investors’ residence visa</w:t>
            </w:r>
          </w:p>
        </w:tc>
        <w:tc>
          <w:tcPr>
            <w:tcW w:w="1984" w:type="dxa"/>
            <w:shd w:val="clear" w:color="auto" w:fill="EDEDED" w:themeFill="background2" w:themeFillTint="33"/>
          </w:tcPr>
          <w:p w14:paraId="23E02E0A" w14:textId="5C5A9BB4" w:rsidR="00777319" w:rsidRPr="008E781C" w:rsidRDefault="00777319" w:rsidP="00E35649">
            <w:pPr>
              <w:pStyle w:val="MMultilevel"/>
              <w:ind w:left="0"/>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Consulate or diplomatic mission</w:t>
            </w:r>
          </w:p>
        </w:tc>
        <w:tc>
          <w:tcPr>
            <w:tcW w:w="3913" w:type="dxa"/>
            <w:shd w:val="clear" w:color="auto" w:fill="EDEDED" w:themeFill="background2" w:themeFillTint="33"/>
          </w:tcPr>
          <w:p w14:paraId="258631E5" w14:textId="1227497F" w:rsidR="00951135" w:rsidRPr="008E781C" w:rsidRDefault="00951135" w:rsidP="00823F54">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Economic and Commercial Office (</w:t>
            </w:r>
            <w:r w:rsidRPr="008E781C">
              <w:rPr>
                <w:rFonts w:ascii="Century Gothic" w:hAnsi="Century Gothic"/>
                <w:i/>
                <w:color w:val="000000" w:themeColor="text1"/>
                <w:sz w:val="18"/>
                <w:szCs w:val="18"/>
                <w:lang w:val="en-GB"/>
              </w:rPr>
              <w:t>Oficina Económica y Comercial</w:t>
            </w:r>
            <w:r w:rsidRPr="008E781C">
              <w:rPr>
                <w:rFonts w:ascii="Century Gothic" w:hAnsi="Century Gothic"/>
                <w:color w:val="000000" w:themeColor="text1"/>
                <w:sz w:val="18"/>
                <w:szCs w:val="18"/>
                <w:lang w:val="en-GB"/>
              </w:rPr>
              <w:t>)</w:t>
            </w:r>
            <w:r w:rsidRPr="008E781C">
              <w:rPr>
                <w:rFonts w:ascii="Century Gothic" w:hAnsi="Century Gothic"/>
                <w:color w:val="000000" w:themeColor="text1"/>
                <w:sz w:val="18"/>
                <w:szCs w:val="18"/>
                <w:vertAlign w:val="superscript"/>
                <w:lang w:val="en-GB"/>
              </w:rPr>
              <w:footnoteReference w:id="126"/>
            </w:r>
          </w:p>
          <w:p w14:paraId="5424D39F" w14:textId="7EF203BC" w:rsidR="00777319" w:rsidRPr="008E781C" w:rsidRDefault="00777319" w:rsidP="00823F54">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Central authorities of other Member States</w:t>
            </w:r>
            <w:r w:rsidRPr="008E781C">
              <w:rPr>
                <w:rStyle w:val="FootnoteReference"/>
                <w:rFonts w:ascii="Century Gothic" w:hAnsi="Century Gothic"/>
                <w:color w:val="000000" w:themeColor="text1"/>
                <w:sz w:val="18"/>
                <w:szCs w:val="18"/>
                <w:lang w:val="en-GB"/>
              </w:rPr>
              <w:footnoteReference w:id="127"/>
            </w:r>
          </w:p>
          <w:p w14:paraId="23D76769" w14:textId="77777777" w:rsidR="00777319" w:rsidRPr="008E781C" w:rsidRDefault="00777319" w:rsidP="00823F54">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General Directorate of the Police for security checks</w:t>
            </w:r>
            <w:r w:rsidRPr="008E781C">
              <w:rPr>
                <w:rFonts w:ascii="Century Gothic" w:hAnsi="Century Gothic"/>
                <w:color w:val="000000" w:themeColor="text1"/>
                <w:sz w:val="18"/>
                <w:szCs w:val="18"/>
                <w:vertAlign w:val="superscript"/>
                <w:lang w:val="en-GB"/>
              </w:rPr>
              <w:footnoteReference w:id="128"/>
            </w:r>
          </w:p>
          <w:p w14:paraId="19A6E929" w14:textId="77777777" w:rsidR="00777319" w:rsidRPr="008E781C" w:rsidRDefault="00777319" w:rsidP="00823F54">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Depending on the type of investment carried out, the corresponding authorities to verify that the investment has been made can be consulted. These are:</w:t>
            </w:r>
            <w:r w:rsidRPr="008E781C">
              <w:rPr>
                <w:rStyle w:val="FootnoteReference"/>
                <w:rFonts w:ascii="Century Gothic" w:hAnsi="Century Gothic"/>
                <w:color w:val="000000" w:themeColor="text1"/>
                <w:sz w:val="18"/>
                <w:szCs w:val="18"/>
                <w:lang w:val="en-GB"/>
              </w:rPr>
              <w:footnoteReference w:id="129"/>
            </w:r>
          </w:p>
          <w:p w14:paraId="334B7E58" w14:textId="77777777" w:rsidR="00777319" w:rsidRPr="008E781C" w:rsidRDefault="00777319" w:rsidP="00F10958">
            <w:pPr>
              <w:pStyle w:val="MMultilevel"/>
              <w:numPr>
                <w:ilvl w:val="0"/>
                <w:numId w:val="52"/>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Ministry of Economy and Competitiveness (General Directorate, </w:t>
            </w:r>
          </w:p>
          <w:p w14:paraId="723AD580" w14:textId="77777777" w:rsidR="00777319" w:rsidRPr="00626E2C" w:rsidRDefault="00777319" w:rsidP="00F10958">
            <w:pPr>
              <w:pStyle w:val="MMultilevel"/>
              <w:numPr>
                <w:ilvl w:val="0"/>
                <w:numId w:val="52"/>
              </w:numPr>
              <w:rPr>
                <w:rFonts w:ascii="Century Gothic" w:hAnsi="Century Gothic"/>
                <w:color w:val="000000" w:themeColor="text1"/>
                <w:sz w:val="18"/>
                <w:szCs w:val="18"/>
                <w:lang w:val="es-ES"/>
              </w:rPr>
            </w:pPr>
            <w:r w:rsidRPr="00626E2C">
              <w:rPr>
                <w:rFonts w:ascii="Century Gothic" w:hAnsi="Century Gothic"/>
                <w:color w:val="000000" w:themeColor="text1"/>
                <w:sz w:val="18"/>
                <w:szCs w:val="18"/>
                <w:lang w:val="es-ES"/>
              </w:rPr>
              <w:t>the National Securities Market Commission (</w:t>
            </w:r>
            <w:r w:rsidRPr="00626E2C">
              <w:rPr>
                <w:rFonts w:ascii="Century Gothic" w:hAnsi="Century Gothic"/>
                <w:i/>
                <w:color w:val="000000" w:themeColor="text1"/>
                <w:sz w:val="18"/>
                <w:szCs w:val="18"/>
                <w:lang w:val="es-ES"/>
              </w:rPr>
              <w:t>Comisión Nacional del Mercado de Valores</w:t>
            </w:r>
            <w:r w:rsidRPr="00626E2C">
              <w:rPr>
                <w:rFonts w:ascii="Century Gothic" w:hAnsi="Century Gothic"/>
                <w:color w:val="000000" w:themeColor="text1"/>
                <w:sz w:val="18"/>
                <w:szCs w:val="18"/>
                <w:lang w:val="es-ES"/>
              </w:rPr>
              <w:t>, CNMV)</w:t>
            </w:r>
          </w:p>
          <w:p w14:paraId="561D800B" w14:textId="77777777" w:rsidR="00777319" w:rsidRPr="008E781C" w:rsidRDefault="00777319" w:rsidP="00F10958">
            <w:pPr>
              <w:pStyle w:val="MMultilevel"/>
              <w:numPr>
                <w:ilvl w:val="0"/>
                <w:numId w:val="52"/>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the National Central Bank – Bank of Spain (</w:t>
            </w:r>
            <w:r w:rsidRPr="008E781C">
              <w:rPr>
                <w:rFonts w:ascii="Century Gothic" w:hAnsi="Century Gothic"/>
                <w:i/>
                <w:color w:val="000000" w:themeColor="text1"/>
                <w:sz w:val="18"/>
                <w:szCs w:val="18"/>
                <w:lang w:val="en-GB"/>
              </w:rPr>
              <w:t>Banco de España</w:t>
            </w:r>
            <w:r w:rsidRPr="008E781C">
              <w:rPr>
                <w:rFonts w:ascii="Century Gothic" w:hAnsi="Century Gothic"/>
                <w:color w:val="000000" w:themeColor="text1"/>
                <w:sz w:val="18"/>
                <w:szCs w:val="18"/>
                <w:lang w:val="en-GB"/>
              </w:rPr>
              <w:t xml:space="preserve">), </w:t>
            </w:r>
          </w:p>
          <w:p w14:paraId="44C5F93E" w14:textId="77777777" w:rsidR="00777319" w:rsidRPr="008E781C" w:rsidRDefault="00777319" w:rsidP="00F10958">
            <w:pPr>
              <w:pStyle w:val="MMultilevel"/>
              <w:numPr>
                <w:ilvl w:val="0"/>
                <w:numId w:val="52"/>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the Property Registry (</w:t>
            </w:r>
            <w:r w:rsidRPr="008E781C">
              <w:rPr>
                <w:rFonts w:ascii="Century Gothic" w:hAnsi="Century Gothic"/>
                <w:i/>
                <w:color w:val="000000" w:themeColor="text1"/>
                <w:sz w:val="18"/>
                <w:szCs w:val="18"/>
                <w:lang w:val="en-GB"/>
              </w:rPr>
              <w:t>Registro de la Propiedad</w:t>
            </w:r>
            <w:r w:rsidRPr="008E781C">
              <w:rPr>
                <w:rFonts w:ascii="Century Gothic" w:hAnsi="Century Gothic"/>
                <w:color w:val="000000" w:themeColor="text1"/>
                <w:sz w:val="18"/>
                <w:szCs w:val="18"/>
                <w:lang w:val="en-GB"/>
              </w:rPr>
              <w:t>),</w:t>
            </w:r>
            <w:r w:rsidRPr="008E781C">
              <w:rPr>
                <w:rStyle w:val="FootnoteReference"/>
                <w:rFonts w:ascii="Century Gothic" w:hAnsi="Century Gothic"/>
                <w:color w:val="000000" w:themeColor="text1"/>
                <w:sz w:val="18"/>
                <w:szCs w:val="18"/>
                <w:lang w:val="en-GB"/>
              </w:rPr>
              <w:footnoteReference w:id="130"/>
            </w:r>
            <w:r w:rsidRPr="008E781C">
              <w:rPr>
                <w:rFonts w:ascii="Century Gothic" w:hAnsi="Century Gothic"/>
                <w:color w:val="000000" w:themeColor="text1"/>
                <w:sz w:val="18"/>
                <w:szCs w:val="18"/>
                <w:lang w:val="en-GB"/>
              </w:rPr>
              <w:t xml:space="preserve"> or </w:t>
            </w:r>
          </w:p>
          <w:p w14:paraId="6A52F984" w14:textId="29A10385" w:rsidR="00777319" w:rsidRPr="008E781C" w:rsidRDefault="00777319" w:rsidP="005370CE">
            <w:pPr>
              <w:pStyle w:val="MMultilevel"/>
              <w:numPr>
                <w:ilvl w:val="0"/>
                <w:numId w:val="52"/>
              </w:numPr>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Private entities can also be consulted: a financial intermediary registered with the CNMV when the investment is in traded shares, the financial institution when the investment is in public debt or a bank deposit, and a company managing the investment fund when the investment is in such funds.</w:t>
            </w:r>
          </w:p>
        </w:tc>
      </w:tr>
      <w:tr w:rsidR="00823F54" w:rsidRPr="008E781C" w14:paraId="7B5EA92F" w14:textId="77777777" w:rsidTr="00777319">
        <w:tc>
          <w:tcPr>
            <w:tcW w:w="1265" w:type="dxa"/>
            <w:shd w:val="clear" w:color="auto" w:fill="95B3D7" w:themeFill="accent1" w:themeFillTint="99"/>
          </w:tcPr>
          <w:p w14:paraId="45A2B2A5" w14:textId="6D091C3C" w:rsidR="00823F54" w:rsidRPr="008E781C" w:rsidRDefault="00823F54" w:rsidP="00E35649">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Residence</w:t>
            </w:r>
            <w:r w:rsidR="004C33D5" w:rsidRPr="008E781C">
              <w:rPr>
                <w:rFonts w:ascii="Century Gothic" w:hAnsi="Century Gothic"/>
                <w:b/>
                <w:color w:val="000000" w:themeColor="text1"/>
                <w:sz w:val="18"/>
                <w:szCs w:val="18"/>
                <w:lang w:val="en-GB"/>
              </w:rPr>
              <w:t xml:space="preserve"> (temporary)</w:t>
            </w:r>
          </w:p>
        </w:tc>
        <w:tc>
          <w:tcPr>
            <w:tcW w:w="1844" w:type="dxa"/>
            <w:shd w:val="clear" w:color="auto" w:fill="DBE5F1" w:themeFill="accent1" w:themeFillTint="33"/>
          </w:tcPr>
          <w:p w14:paraId="0DAC352B" w14:textId="36E4B254" w:rsidR="00823F54" w:rsidRPr="008E781C" w:rsidRDefault="00823F54" w:rsidP="00E35649">
            <w:pPr>
              <w:pStyle w:val="MMultilevel"/>
              <w:numPr>
                <w:ilvl w:val="0"/>
                <w:numId w:val="0"/>
              </w:numPr>
              <w:rPr>
                <w:rFonts w:ascii="Century Gothic" w:hAnsi="Century Gothic"/>
                <w:b/>
                <w:color w:val="000000" w:themeColor="text1"/>
                <w:sz w:val="18"/>
                <w:szCs w:val="18"/>
                <w:lang w:val="en-GB"/>
              </w:rPr>
            </w:pPr>
            <w:r w:rsidRPr="008E781C">
              <w:rPr>
                <w:rFonts w:ascii="Century Gothic" w:hAnsi="Century Gothic"/>
                <w:b/>
                <w:color w:val="000000" w:themeColor="text1"/>
                <w:sz w:val="18"/>
                <w:szCs w:val="18"/>
                <w:lang w:val="en-GB"/>
              </w:rPr>
              <w:t>Investors’ residence authorisation</w:t>
            </w:r>
          </w:p>
        </w:tc>
        <w:tc>
          <w:tcPr>
            <w:tcW w:w="1984" w:type="dxa"/>
            <w:shd w:val="clear" w:color="auto" w:fill="EDEDED" w:themeFill="background2" w:themeFillTint="33"/>
          </w:tcPr>
          <w:p w14:paraId="101BB361" w14:textId="747E4413" w:rsidR="00823F54" w:rsidRPr="008E781C" w:rsidRDefault="00823F54" w:rsidP="00823F54">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To </w:t>
            </w:r>
            <w:r w:rsidRPr="008E781C">
              <w:rPr>
                <w:rFonts w:ascii="Century Gothic" w:hAnsi="Century Gothic"/>
                <w:b/>
                <w:color w:val="000000" w:themeColor="text1"/>
                <w:sz w:val="18"/>
                <w:szCs w:val="18"/>
                <w:lang w:val="en-GB"/>
              </w:rPr>
              <w:t xml:space="preserve">process </w:t>
            </w:r>
            <w:r w:rsidRPr="008E781C">
              <w:rPr>
                <w:rFonts w:ascii="Century Gothic" w:hAnsi="Century Gothic"/>
                <w:color w:val="000000" w:themeColor="text1"/>
                <w:sz w:val="18"/>
                <w:szCs w:val="18"/>
                <w:lang w:val="en-GB"/>
              </w:rPr>
              <w:t>the application: UGE-CE</w:t>
            </w:r>
            <w:r w:rsidRPr="008E781C">
              <w:rPr>
                <w:rFonts w:ascii="Century Gothic" w:hAnsi="Century Gothic"/>
                <w:color w:val="000000" w:themeColor="text1"/>
                <w:sz w:val="18"/>
                <w:szCs w:val="18"/>
                <w:vertAlign w:val="superscript"/>
                <w:lang w:val="en-GB"/>
              </w:rPr>
              <w:footnoteReference w:id="131"/>
            </w:r>
            <w:r w:rsidRPr="008E781C">
              <w:rPr>
                <w:rFonts w:ascii="Century Gothic" w:hAnsi="Century Gothic"/>
                <w:color w:val="000000" w:themeColor="text1"/>
                <w:sz w:val="18"/>
                <w:szCs w:val="18"/>
                <w:lang w:val="en-GB"/>
              </w:rPr>
              <w:t xml:space="preserve"> </w:t>
            </w:r>
          </w:p>
          <w:p w14:paraId="22806234" w14:textId="22CE1511" w:rsidR="00823F54" w:rsidRPr="008E781C" w:rsidRDefault="00823F54" w:rsidP="005370CE">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To </w:t>
            </w:r>
            <w:r w:rsidR="00145507" w:rsidRPr="008E781C">
              <w:rPr>
                <w:rFonts w:ascii="Century Gothic" w:hAnsi="Century Gothic"/>
                <w:b/>
                <w:color w:val="000000" w:themeColor="text1"/>
                <w:sz w:val="18"/>
                <w:szCs w:val="18"/>
                <w:lang w:val="en-GB"/>
              </w:rPr>
              <w:t>m</w:t>
            </w:r>
            <w:r w:rsidRPr="008E781C">
              <w:rPr>
                <w:rFonts w:ascii="Century Gothic" w:hAnsi="Century Gothic"/>
                <w:b/>
                <w:color w:val="000000" w:themeColor="text1"/>
                <w:sz w:val="18"/>
                <w:szCs w:val="18"/>
                <w:lang w:val="en-GB"/>
              </w:rPr>
              <w:t xml:space="preserve">ake a </w:t>
            </w:r>
            <w:r w:rsidRPr="008E781C">
              <w:rPr>
                <w:rFonts w:ascii="Century Gothic" w:hAnsi="Century Gothic"/>
                <w:b/>
                <w:color w:val="000000" w:themeColor="text1"/>
                <w:sz w:val="18"/>
                <w:szCs w:val="18"/>
                <w:lang w:val="en-GB"/>
              </w:rPr>
              <w:lastRenderedPageBreak/>
              <w:t>decision</w:t>
            </w:r>
            <w:r w:rsidRPr="008E781C">
              <w:rPr>
                <w:rFonts w:ascii="Century Gothic" w:hAnsi="Century Gothic"/>
                <w:color w:val="000000" w:themeColor="text1"/>
                <w:sz w:val="18"/>
                <w:szCs w:val="18"/>
                <w:lang w:val="en-GB"/>
              </w:rPr>
              <w:t xml:space="preserve"> on whether</w:t>
            </w:r>
            <w:r w:rsidR="00C733F9" w:rsidRPr="008E781C">
              <w:rPr>
                <w:rFonts w:ascii="Century Gothic" w:hAnsi="Century Gothic"/>
                <w:color w:val="000000" w:themeColor="text1"/>
                <w:sz w:val="18"/>
                <w:szCs w:val="18"/>
                <w:lang w:val="en-GB"/>
              </w:rPr>
              <w:t xml:space="preserve"> or not</w:t>
            </w:r>
            <w:r w:rsidRPr="008E781C">
              <w:rPr>
                <w:rFonts w:ascii="Century Gothic" w:hAnsi="Century Gothic"/>
                <w:color w:val="000000" w:themeColor="text1"/>
                <w:sz w:val="18"/>
                <w:szCs w:val="18"/>
                <w:lang w:val="en-GB"/>
              </w:rPr>
              <w:t xml:space="preserve"> the application should be approved </w:t>
            </w:r>
            <w:r w:rsidR="00C733F9" w:rsidRPr="008E781C">
              <w:rPr>
                <w:rFonts w:ascii="Century Gothic" w:hAnsi="Century Gothic"/>
                <w:color w:val="000000" w:themeColor="text1"/>
                <w:sz w:val="18"/>
                <w:szCs w:val="18"/>
                <w:lang w:val="en-GB"/>
              </w:rPr>
              <w:t>and the authorisation issued</w:t>
            </w:r>
            <w:r w:rsidRPr="008E781C">
              <w:rPr>
                <w:rFonts w:ascii="Century Gothic" w:hAnsi="Century Gothic"/>
                <w:color w:val="000000" w:themeColor="text1"/>
                <w:sz w:val="18"/>
                <w:szCs w:val="18"/>
                <w:lang w:val="en-GB"/>
              </w:rPr>
              <w:t>: DGM</w:t>
            </w:r>
            <w:r w:rsidRPr="008E781C">
              <w:rPr>
                <w:rFonts w:ascii="Century Gothic" w:hAnsi="Century Gothic"/>
                <w:color w:val="000000" w:themeColor="text1"/>
                <w:sz w:val="18"/>
                <w:szCs w:val="18"/>
                <w:vertAlign w:val="superscript"/>
                <w:lang w:val="en-GB"/>
              </w:rPr>
              <w:footnoteReference w:id="132"/>
            </w:r>
          </w:p>
        </w:tc>
        <w:tc>
          <w:tcPr>
            <w:tcW w:w="3913" w:type="dxa"/>
            <w:shd w:val="clear" w:color="auto" w:fill="EDEDED" w:themeFill="background2" w:themeFillTint="33"/>
          </w:tcPr>
          <w:p w14:paraId="692F93F5" w14:textId="206200B3" w:rsidR="00F10958" w:rsidRPr="008E781C" w:rsidRDefault="00F10958" w:rsidP="005370CE">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lastRenderedPageBreak/>
              <w:t xml:space="preserve">Since to apply for an investors’ residence authorisation the applicant </w:t>
            </w:r>
            <w:r w:rsidR="00C733F9" w:rsidRPr="008E781C">
              <w:rPr>
                <w:rFonts w:ascii="Century Gothic" w:hAnsi="Century Gothic"/>
                <w:color w:val="000000" w:themeColor="text1"/>
                <w:sz w:val="18"/>
                <w:szCs w:val="18"/>
                <w:lang w:val="en-GB"/>
              </w:rPr>
              <w:t>must</w:t>
            </w:r>
            <w:r w:rsidRPr="008E781C">
              <w:rPr>
                <w:rFonts w:ascii="Century Gothic" w:hAnsi="Century Gothic"/>
                <w:color w:val="000000" w:themeColor="text1"/>
                <w:sz w:val="18"/>
                <w:szCs w:val="18"/>
                <w:lang w:val="en-GB"/>
              </w:rPr>
              <w:t xml:space="preserve"> prove that a significant investment has been </w:t>
            </w:r>
            <w:r w:rsidR="00C733F9" w:rsidRPr="008E781C">
              <w:rPr>
                <w:rFonts w:ascii="Century Gothic" w:hAnsi="Century Gothic"/>
                <w:color w:val="000000" w:themeColor="text1"/>
                <w:sz w:val="18"/>
                <w:szCs w:val="18"/>
                <w:lang w:val="en-GB"/>
              </w:rPr>
              <w:t>made</w:t>
            </w:r>
            <w:r w:rsidRPr="008E781C">
              <w:rPr>
                <w:rFonts w:ascii="Century Gothic" w:hAnsi="Century Gothic"/>
                <w:color w:val="000000" w:themeColor="text1"/>
                <w:sz w:val="18"/>
                <w:szCs w:val="18"/>
                <w:lang w:val="en-GB"/>
              </w:rPr>
              <w:t>,</w:t>
            </w:r>
            <w:r w:rsidRPr="008E781C">
              <w:rPr>
                <w:rStyle w:val="FootnoteReference"/>
                <w:rFonts w:ascii="Century Gothic" w:hAnsi="Century Gothic"/>
                <w:color w:val="000000" w:themeColor="text1"/>
                <w:sz w:val="18"/>
                <w:szCs w:val="18"/>
                <w:lang w:val="en-GB"/>
              </w:rPr>
              <w:footnoteReference w:id="133"/>
            </w:r>
            <w:r w:rsidRPr="008E781C">
              <w:rPr>
                <w:rFonts w:ascii="Century Gothic" w:hAnsi="Century Gothic"/>
                <w:color w:val="000000" w:themeColor="text1"/>
                <w:sz w:val="18"/>
                <w:szCs w:val="18"/>
                <w:lang w:val="en-GB"/>
              </w:rPr>
              <w:t xml:space="preserve"> the </w:t>
            </w:r>
            <w:r w:rsidRPr="008E781C">
              <w:rPr>
                <w:rFonts w:ascii="Century Gothic" w:hAnsi="Century Gothic"/>
                <w:color w:val="000000" w:themeColor="text1"/>
                <w:sz w:val="18"/>
                <w:szCs w:val="18"/>
                <w:lang w:val="en-GB"/>
              </w:rPr>
              <w:lastRenderedPageBreak/>
              <w:t>authorities and entities listed in the row above (consulted to issue the residence visa) can be consulted for the issuance of the residence authorisation.</w:t>
            </w:r>
          </w:p>
          <w:p w14:paraId="73112E2F" w14:textId="4B54EC45" w:rsidR="00823F54" w:rsidRPr="008E781C" w:rsidRDefault="00F10958" w:rsidP="00F10958">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Competent authorities to certify that tax</w:t>
            </w:r>
            <w:r w:rsidR="005F3AD9" w:rsidRPr="008E781C">
              <w:rPr>
                <w:rFonts w:ascii="Century Gothic" w:hAnsi="Century Gothic"/>
                <w:color w:val="000000" w:themeColor="text1"/>
                <w:sz w:val="18"/>
                <w:szCs w:val="18"/>
                <w:vertAlign w:val="superscript"/>
                <w:lang w:val="en-GB"/>
              </w:rPr>
              <w:footnoteReference w:id="134"/>
            </w:r>
            <w:r w:rsidRPr="008E781C">
              <w:rPr>
                <w:rFonts w:ascii="Century Gothic" w:hAnsi="Century Gothic"/>
                <w:color w:val="000000" w:themeColor="text1"/>
                <w:sz w:val="18"/>
                <w:szCs w:val="18"/>
                <w:lang w:val="en-GB"/>
              </w:rPr>
              <w:t xml:space="preserve"> and Social Security obligations are complied with</w:t>
            </w:r>
            <w:r w:rsidRPr="008E781C">
              <w:rPr>
                <w:rFonts w:ascii="Century Gothic" w:hAnsi="Century Gothic"/>
                <w:color w:val="000000" w:themeColor="text1"/>
                <w:sz w:val="18"/>
                <w:szCs w:val="18"/>
                <w:vertAlign w:val="superscript"/>
                <w:lang w:val="en-GB"/>
              </w:rPr>
              <w:footnoteReference w:id="135"/>
            </w:r>
            <w:r w:rsidRPr="008E781C">
              <w:rPr>
                <w:rFonts w:ascii="Century Gothic" w:hAnsi="Century Gothic"/>
                <w:color w:val="000000" w:themeColor="text1"/>
                <w:sz w:val="18"/>
                <w:szCs w:val="18"/>
                <w:lang w:val="en-GB"/>
              </w:rPr>
              <w:t xml:space="preserve"> </w:t>
            </w:r>
          </w:p>
          <w:p w14:paraId="3244257B" w14:textId="2D5C5874" w:rsidR="00F10958" w:rsidRPr="008E781C" w:rsidRDefault="004C3082" w:rsidP="00BB28C5">
            <w:pPr>
              <w:pStyle w:val="MMultilevel"/>
              <w:numPr>
                <w:ilvl w:val="0"/>
                <w:numId w:val="12"/>
              </w:numPr>
              <w:ind w:left="322" w:hanging="322"/>
              <w:rPr>
                <w:rFonts w:ascii="Century Gothic" w:hAnsi="Century Gothic"/>
                <w:color w:val="000000" w:themeColor="text1"/>
                <w:sz w:val="18"/>
                <w:szCs w:val="18"/>
                <w:lang w:val="en-GB"/>
              </w:rPr>
            </w:pPr>
            <w:r w:rsidRPr="008E781C">
              <w:rPr>
                <w:rFonts w:ascii="Century Gothic" w:hAnsi="Century Gothic"/>
                <w:color w:val="000000" w:themeColor="text1"/>
                <w:sz w:val="18"/>
                <w:szCs w:val="18"/>
                <w:lang w:val="en-GB"/>
              </w:rPr>
              <w:t xml:space="preserve">The competent authority </w:t>
            </w:r>
            <w:r w:rsidR="00F10958" w:rsidRPr="008E781C">
              <w:rPr>
                <w:rFonts w:ascii="Century Gothic" w:hAnsi="Century Gothic"/>
                <w:color w:val="000000" w:themeColor="text1"/>
                <w:sz w:val="18"/>
                <w:szCs w:val="18"/>
                <w:lang w:val="en-GB"/>
              </w:rPr>
              <w:t xml:space="preserve">to certify that the anti-money laundering obligations are </w:t>
            </w:r>
            <w:r w:rsidR="00C42CE9" w:rsidRPr="008E781C">
              <w:rPr>
                <w:rFonts w:ascii="Century Gothic" w:hAnsi="Century Gothic"/>
                <w:color w:val="000000" w:themeColor="text1"/>
                <w:sz w:val="18"/>
                <w:szCs w:val="18"/>
                <w:lang w:val="en-GB"/>
              </w:rPr>
              <w:t>fulfilled</w:t>
            </w:r>
            <w:r w:rsidRPr="008E781C">
              <w:rPr>
                <w:rFonts w:ascii="Century Gothic" w:hAnsi="Century Gothic"/>
                <w:color w:val="000000" w:themeColor="text1"/>
                <w:sz w:val="18"/>
                <w:szCs w:val="18"/>
                <w:lang w:val="en-GB"/>
              </w:rPr>
              <w:t xml:space="preserve"> is the</w:t>
            </w:r>
            <w:r w:rsidRPr="008E781C">
              <w:rPr>
                <w:bCs w:val="0"/>
                <w:sz w:val="24"/>
                <w:szCs w:val="24"/>
                <w:lang w:val="en-GB"/>
              </w:rPr>
              <w:t xml:space="preserve"> </w:t>
            </w:r>
            <w:r w:rsidRPr="008E781C">
              <w:rPr>
                <w:rFonts w:ascii="Century Gothic" w:hAnsi="Century Gothic"/>
                <w:color w:val="000000" w:themeColor="text1"/>
                <w:sz w:val="18"/>
                <w:szCs w:val="18"/>
                <w:lang w:val="en-GB"/>
              </w:rPr>
              <w:t>Commission on the Prevention of Money Laundering and Monetary Infringements (</w:t>
            </w:r>
            <w:r w:rsidRPr="008E781C">
              <w:rPr>
                <w:rFonts w:ascii="Century Gothic" w:hAnsi="Century Gothic"/>
                <w:i/>
                <w:color w:val="000000" w:themeColor="text1"/>
                <w:sz w:val="18"/>
                <w:szCs w:val="18"/>
                <w:lang w:val="en-GB"/>
              </w:rPr>
              <w:t>Comisión de Prevención del Blanqueo de Capitales e Infracciones</w:t>
            </w:r>
            <w:r w:rsidRPr="008E781C">
              <w:rPr>
                <w:rFonts w:ascii="Century Gothic" w:hAnsi="Century Gothic"/>
                <w:color w:val="000000" w:themeColor="text1"/>
                <w:sz w:val="18"/>
                <w:szCs w:val="18"/>
                <w:lang w:val="en-GB"/>
              </w:rPr>
              <w:t>)</w:t>
            </w:r>
            <w:r w:rsidR="00C42CE9" w:rsidRPr="008E781C">
              <w:rPr>
                <w:rStyle w:val="FootnoteReference"/>
                <w:rFonts w:ascii="Century Gothic" w:hAnsi="Century Gothic"/>
                <w:color w:val="000000" w:themeColor="text1"/>
                <w:sz w:val="18"/>
                <w:szCs w:val="18"/>
                <w:lang w:val="en-GB"/>
              </w:rPr>
              <w:footnoteReference w:id="136"/>
            </w:r>
          </w:p>
        </w:tc>
      </w:tr>
    </w:tbl>
    <w:p w14:paraId="364A18A8" w14:textId="77777777" w:rsidR="009C6285" w:rsidRPr="008E781C" w:rsidRDefault="009C6285" w:rsidP="00D772C5">
      <w:pPr>
        <w:pStyle w:val="MMultilevel"/>
        <w:numPr>
          <w:ilvl w:val="0"/>
          <w:numId w:val="0"/>
        </w:numPr>
        <w:rPr>
          <w:color w:val="000000" w:themeColor="text1"/>
          <w:lang w:val="en-GB"/>
        </w:rPr>
      </w:pPr>
    </w:p>
    <w:p w14:paraId="5E61C3D8" w14:textId="4E8184C6" w:rsidR="009226EF" w:rsidRPr="008E781C" w:rsidRDefault="009226EF" w:rsidP="00D772C5">
      <w:pPr>
        <w:pStyle w:val="MMultilevel"/>
        <w:numPr>
          <w:ilvl w:val="0"/>
          <w:numId w:val="0"/>
        </w:numPr>
        <w:rPr>
          <w:color w:val="000000" w:themeColor="text1"/>
          <w:lang w:val="en-GB"/>
        </w:rPr>
      </w:pPr>
      <w:r w:rsidRPr="008E781C">
        <w:rPr>
          <w:color w:val="000000" w:themeColor="text1"/>
          <w:lang w:val="en-GB"/>
        </w:rPr>
        <w:t xml:space="preserve">No </w:t>
      </w:r>
      <w:r w:rsidRPr="008E781C">
        <w:rPr>
          <w:b/>
          <w:color w:val="000000" w:themeColor="text1"/>
          <w:lang w:val="en-GB"/>
        </w:rPr>
        <w:t xml:space="preserve">non-public bodies </w:t>
      </w:r>
      <w:r w:rsidRPr="008E781C">
        <w:rPr>
          <w:color w:val="000000" w:themeColor="text1"/>
          <w:lang w:val="en-GB"/>
        </w:rPr>
        <w:t>intervene in the procedure to examine and decide on the application for investors’ residence permits. However, certain private entities (as reflected in Table 2 above)</w:t>
      </w:r>
      <w:r w:rsidR="00BB28C5" w:rsidRPr="008E781C">
        <w:rPr>
          <w:color w:val="000000" w:themeColor="text1"/>
          <w:lang w:val="en-GB"/>
        </w:rPr>
        <w:t>, such as</w:t>
      </w:r>
      <w:r w:rsidRPr="008E781C">
        <w:rPr>
          <w:color w:val="000000" w:themeColor="text1"/>
          <w:lang w:val="en-GB"/>
        </w:rPr>
        <w:t xml:space="preserve"> </w:t>
      </w:r>
      <w:r w:rsidR="00BB28C5" w:rsidRPr="008E781C">
        <w:rPr>
          <w:color w:val="000000" w:themeColor="text1"/>
          <w:lang w:val="en-GB"/>
        </w:rPr>
        <w:t xml:space="preserve">a financial intermediary registered with the CNMV when the investment is in traded shares, the financial institution when the investment is in public debt or a bank deposit, and a company managing the investment fund when the investment is in such funds, </w:t>
      </w:r>
      <w:r w:rsidRPr="008E781C">
        <w:rPr>
          <w:color w:val="000000" w:themeColor="text1"/>
          <w:lang w:val="en-GB"/>
        </w:rPr>
        <w:t>may intervene</w:t>
      </w:r>
      <w:r w:rsidR="00344B90" w:rsidRPr="008E781C">
        <w:rPr>
          <w:color w:val="000000" w:themeColor="text1"/>
          <w:lang w:val="en-GB"/>
        </w:rPr>
        <w:t xml:space="preserve"> to issue the necessary evidentiary documents.</w:t>
      </w:r>
    </w:p>
    <w:p w14:paraId="2F757EA3" w14:textId="326D3882" w:rsidR="00E35649" w:rsidRPr="008E781C" w:rsidRDefault="00E35649" w:rsidP="003B3938">
      <w:pPr>
        <w:pStyle w:val="MBT"/>
        <w:rPr>
          <w:lang w:val="en-GB"/>
        </w:rPr>
      </w:pPr>
    </w:p>
    <w:p w14:paraId="231DB47C" w14:textId="77777777" w:rsidR="00F21446" w:rsidRPr="008E781C" w:rsidRDefault="00F21446" w:rsidP="003B3938">
      <w:pPr>
        <w:pStyle w:val="MBT"/>
        <w:rPr>
          <w:lang w:val="en-GB"/>
        </w:rPr>
      </w:pPr>
    </w:p>
    <w:p w14:paraId="4698A778" w14:textId="6DF314AA" w:rsidR="00B311A7" w:rsidRPr="008E781C" w:rsidRDefault="00B311A7" w:rsidP="0001799A">
      <w:pPr>
        <w:pStyle w:val="MH2"/>
        <w:outlineLvl w:val="9"/>
      </w:pPr>
      <w:r w:rsidRPr="008E781C">
        <w:t>Monitoring of the proceedings and the authorities involved</w:t>
      </w:r>
    </w:p>
    <w:p w14:paraId="3703048D" w14:textId="64A0474A" w:rsidR="002E566C" w:rsidRPr="008E781C" w:rsidRDefault="00C733F9" w:rsidP="00204BA5">
      <w:pPr>
        <w:pStyle w:val="MBT"/>
        <w:rPr>
          <w:lang w:val="en-GB"/>
        </w:rPr>
      </w:pPr>
      <w:r w:rsidRPr="008E781C">
        <w:rPr>
          <w:lang w:val="en-GB"/>
        </w:rPr>
        <w:t>There is</w:t>
      </w:r>
      <w:r w:rsidR="008F2625" w:rsidRPr="008E781C">
        <w:rPr>
          <w:lang w:val="en-GB"/>
        </w:rPr>
        <w:t xml:space="preserve"> </w:t>
      </w:r>
      <w:r w:rsidR="008F2625" w:rsidRPr="008E781C">
        <w:rPr>
          <w:b/>
          <w:lang w:val="en-GB"/>
        </w:rPr>
        <w:t>n</w:t>
      </w:r>
      <w:r w:rsidR="002E566C" w:rsidRPr="008E781C">
        <w:rPr>
          <w:b/>
          <w:lang w:val="en-GB"/>
        </w:rPr>
        <w:t>o limitation</w:t>
      </w:r>
      <w:r w:rsidRPr="008E781C">
        <w:rPr>
          <w:b/>
          <w:lang w:val="en-GB"/>
        </w:rPr>
        <w:t>/cap</w:t>
      </w:r>
      <w:r w:rsidR="002E566C" w:rsidRPr="008E781C">
        <w:rPr>
          <w:b/>
          <w:lang w:val="en-GB"/>
        </w:rPr>
        <w:t xml:space="preserve"> on the number of applications</w:t>
      </w:r>
      <w:r w:rsidR="002E566C" w:rsidRPr="008E781C">
        <w:rPr>
          <w:lang w:val="en-GB"/>
        </w:rPr>
        <w:t xml:space="preserve"> that can be submitted by foreign investors</w:t>
      </w:r>
      <w:r w:rsidR="00344B90" w:rsidRPr="008E781C">
        <w:rPr>
          <w:lang w:val="en-GB"/>
        </w:rPr>
        <w:t xml:space="preserve"> in Spain</w:t>
      </w:r>
      <w:r w:rsidR="002E566C" w:rsidRPr="008E781C">
        <w:rPr>
          <w:lang w:val="en-GB"/>
        </w:rPr>
        <w:t>.</w:t>
      </w:r>
      <w:r w:rsidR="00876F0E" w:rsidRPr="008E781C">
        <w:rPr>
          <w:lang w:val="en-GB"/>
        </w:rPr>
        <w:t xml:space="preserve"> </w:t>
      </w:r>
    </w:p>
    <w:p w14:paraId="681E3471" w14:textId="77777777" w:rsidR="002E566C" w:rsidRPr="008E781C" w:rsidRDefault="002E566C" w:rsidP="00204BA5">
      <w:pPr>
        <w:pStyle w:val="MBT"/>
        <w:rPr>
          <w:lang w:val="en-GB"/>
        </w:rPr>
      </w:pPr>
    </w:p>
    <w:p w14:paraId="5FD50E55" w14:textId="5B2FBB05" w:rsidR="00876F0E" w:rsidRPr="008E781C" w:rsidRDefault="00C733F9" w:rsidP="00204BA5">
      <w:pPr>
        <w:pStyle w:val="MBT"/>
        <w:rPr>
          <w:lang w:val="en-GB"/>
        </w:rPr>
      </w:pPr>
      <w:r w:rsidRPr="008E781C">
        <w:rPr>
          <w:lang w:val="en-GB"/>
        </w:rPr>
        <w:t>As regards</w:t>
      </w:r>
      <w:r w:rsidR="002E566C" w:rsidRPr="008E781C">
        <w:rPr>
          <w:lang w:val="en-GB"/>
        </w:rPr>
        <w:t xml:space="preserve"> </w:t>
      </w:r>
      <w:r w:rsidR="002E566C" w:rsidRPr="008E781C">
        <w:rPr>
          <w:b/>
          <w:lang w:val="en-GB"/>
        </w:rPr>
        <w:t>monitoring/scrutiny mechanisms</w:t>
      </w:r>
      <w:r w:rsidR="002E566C" w:rsidRPr="008E781C">
        <w:rPr>
          <w:lang w:val="en-GB"/>
        </w:rPr>
        <w:t xml:space="preserve">, </w:t>
      </w:r>
      <w:r w:rsidR="00876F0E" w:rsidRPr="008E781C">
        <w:rPr>
          <w:lang w:val="en-GB"/>
        </w:rPr>
        <w:t>Law 14/2013</w:t>
      </w:r>
      <w:r w:rsidR="002E566C" w:rsidRPr="008E781C">
        <w:rPr>
          <w:rStyle w:val="FootnoteReference"/>
          <w:lang w:val="en-GB"/>
        </w:rPr>
        <w:footnoteReference w:id="137"/>
      </w:r>
      <w:r w:rsidR="00876F0E" w:rsidRPr="008E781C">
        <w:rPr>
          <w:lang w:val="en-GB"/>
        </w:rPr>
        <w:t xml:space="preserve"> includes an </w:t>
      </w:r>
      <w:r w:rsidR="00876F0E" w:rsidRPr="008E781C">
        <w:rPr>
          <w:b/>
          <w:lang w:val="en-GB"/>
        </w:rPr>
        <w:t>obligation to prepare a</w:t>
      </w:r>
      <w:r w:rsidR="002E566C" w:rsidRPr="008E781C">
        <w:rPr>
          <w:b/>
          <w:lang w:val="en-GB"/>
        </w:rPr>
        <w:t>n annual</w:t>
      </w:r>
      <w:r w:rsidR="00876F0E" w:rsidRPr="008E781C">
        <w:rPr>
          <w:b/>
          <w:lang w:val="en-GB"/>
        </w:rPr>
        <w:t xml:space="preserve"> report</w:t>
      </w:r>
      <w:r w:rsidR="00876F0E" w:rsidRPr="008E781C">
        <w:rPr>
          <w:lang w:val="en-GB"/>
        </w:rPr>
        <w:t xml:space="preserve"> on the </w:t>
      </w:r>
      <w:r w:rsidR="008870ED" w:rsidRPr="008E781C">
        <w:rPr>
          <w:b/>
          <w:lang w:val="en-GB"/>
        </w:rPr>
        <w:t xml:space="preserve">implementation </w:t>
      </w:r>
      <w:r w:rsidR="00876F0E" w:rsidRPr="008E781C">
        <w:rPr>
          <w:b/>
          <w:lang w:val="en-GB"/>
        </w:rPr>
        <w:t xml:space="preserve">of the </w:t>
      </w:r>
      <w:r w:rsidR="008870ED" w:rsidRPr="008E781C">
        <w:rPr>
          <w:b/>
          <w:lang w:val="en-GB"/>
        </w:rPr>
        <w:t xml:space="preserve">rules </w:t>
      </w:r>
      <w:r w:rsidR="00876F0E" w:rsidRPr="008E781C">
        <w:rPr>
          <w:b/>
          <w:lang w:val="en-GB"/>
        </w:rPr>
        <w:t>on</w:t>
      </w:r>
      <w:r w:rsidR="00876F0E" w:rsidRPr="008E781C">
        <w:rPr>
          <w:lang w:val="en-GB"/>
        </w:rPr>
        <w:t xml:space="preserve"> the </w:t>
      </w:r>
      <w:r w:rsidR="00876F0E" w:rsidRPr="008E781C">
        <w:rPr>
          <w:b/>
          <w:lang w:val="en-GB"/>
        </w:rPr>
        <w:t xml:space="preserve">visas </w:t>
      </w:r>
      <w:r w:rsidR="008870ED" w:rsidRPr="008E781C">
        <w:rPr>
          <w:b/>
          <w:lang w:val="en-GB"/>
        </w:rPr>
        <w:t>and authorisations</w:t>
      </w:r>
      <w:r w:rsidR="008870ED" w:rsidRPr="008E781C">
        <w:rPr>
          <w:lang w:val="en-GB"/>
        </w:rPr>
        <w:t xml:space="preserve"> granted to the individuals </w:t>
      </w:r>
      <w:r w:rsidR="001668E3" w:rsidRPr="008E781C">
        <w:rPr>
          <w:lang w:val="en-GB"/>
        </w:rPr>
        <w:t xml:space="preserve">included in Article 61 of </w:t>
      </w:r>
      <w:r w:rsidR="008870ED" w:rsidRPr="008E781C">
        <w:rPr>
          <w:lang w:val="en-GB"/>
        </w:rPr>
        <w:t>the same law</w:t>
      </w:r>
      <w:r w:rsidR="001668E3" w:rsidRPr="008E781C">
        <w:rPr>
          <w:lang w:val="en-GB"/>
        </w:rPr>
        <w:t xml:space="preserve"> (</w:t>
      </w:r>
      <w:r w:rsidR="002E566C" w:rsidRPr="008E781C">
        <w:rPr>
          <w:lang w:val="en-GB"/>
        </w:rPr>
        <w:t xml:space="preserve">i.e. </w:t>
      </w:r>
      <w:r w:rsidR="001668E3" w:rsidRPr="008E781C">
        <w:rPr>
          <w:b/>
          <w:lang w:val="en-GB"/>
        </w:rPr>
        <w:t>investors</w:t>
      </w:r>
      <w:r w:rsidR="001668E3" w:rsidRPr="008E781C">
        <w:rPr>
          <w:lang w:val="en-GB"/>
        </w:rPr>
        <w:t>, entrepreneurs, highly qualified professionals, research</w:t>
      </w:r>
      <w:r w:rsidR="008F2625" w:rsidRPr="008E781C">
        <w:rPr>
          <w:lang w:val="en-GB"/>
        </w:rPr>
        <w:t>ers</w:t>
      </w:r>
      <w:r w:rsidR="001668E3" w:rsidRPr="008E781C">
        <w:rPr>
          <w:lang w:val="en-GB"/>
        </w:rPr>
        <w:t xml:space="preserve"> and intra-</w:t>
      </w:r>
      <w:r w:rsidRPr="008E781C">
        <w:rPr>
          <w:lang w:val="en-GB"/>
        </w:rPr>
        <w:t xml:space="preserve">corporate </w:t>
      </w:r>
      <w:r w:rsidR="001668E3" w:rsidRPr="008E781C">
        <w:rPr>
          <w:lang w:val="en-GB"/>
        </w:rPr>
        <w:t>transfe</w:t>
      </w:r>
      <w:r w:rsidR="008F2625" w:rsidRPr="008E781C">
        <w:rPr>
          <w:lang w:val="en-GB"/>
        </w:rPr>
        <w:t>ree</w:t>
      </w:r>
      <w:r w:rsidR="001668E3" w:rsidRPr="008E781C">
        <w:rPr>
          <w:lang w:val="en-GB"/>
        </w:rPr>
        <w:t>s)</w:t>
      </w:r>
      <w:r w:rsidR="00876F0E" w:rsidRPr="008E781C">
        <w:rPr>
          <w:lang w:val="en-GB"/>
        </w:rPr>
        <w:t xml:space="preserve">. The report must be </w:t>
      </w:r>
      <w:r w:rsidR="008F2625" w:rsidRPr="008E781C">
        <w:rPr>
          <w:b/>
          <w:lang w:val="en-GB"/>
        </w:rPr>
        <w:t>prepared by</w:t>
      </w:r>
      <w:r w:rsidR="00876F0E" w:rsidRPr="008E781C">
        <w:rPr>
          <w:b/>
          <w:lang w:val="en-GB"/>
        </w:rPr>
        <w:t xml:space="preserve"> the </w:t>
      </w:r>
      <w:r w:rsidRPr="008E781C">
        <w:rPr>
          <w:b/>
          <w:lang w:val="en-GB"/>
        </w:rPr>
        <w:t>MESS</w:t>
      </w:r>
      <w:r w:rsidR="00876F0E" w:rsidRPr="008E781C">
        <w:rPr>
          <w:lang w:val="en-GB"/>
        </w:rPr>
        <w:t xml:space="preserve">, </w:t>
      </w:r>
      <w:r w:rsidR="008870ED" w:rsidRPr="008E781C">
        <w:rPr>
          <w:lang w:val="en-GB"/>
        </w:rPr>
        <w:lastRenderedPageBreak/>
        <w:t xml:space="preserve">further to the joint </w:t>
      </w:r>
      <w:r w:rsidR="00876F0E" w:rsidRPr="008E781C">
        <w:rPr>
          <w:lang w:val="en-GB"/>
        </w:rPr>
        <w:t>request of the Ministries of Foreign Affairs, Interior Affairs and Economy</w:t>
      </w:r>
      <w:r w:rsidR="008870ED" w:rsidRPr="008E781C">
        <w:rPr>
          <w:lang w:val="en-GB"/>
        </w:rPr>
        <w:t>. This report will be</w:t>
      </w:r>
      <w:r w:rsidR="005370CE" w:rsidRPr="008E781C">
        <w:rPr>
          <w:lang w:val="en-GB"/>
        </w:rPr>
        <w:t xml:space="preserve"> </w:t>
      </w:r>
      <w:r w:rsidR="00876F0E" w:rsidRPr="008E781C">
        <w:rPr>
          <w:b/>
          <w:lang w:val="en-GB"/>
        </w:rPr>
        <w:t>submitted to the Council of Ministers</w:t>
      </w:r>
      <w:r w:rsidR="00876F0E" w:rsidRPr="008E781C">
        <w:rPr>
          <w:lang w:val="en-GB"/>
        </w:rPr>
        <w:t xml:space="preserve">. </w:t>
      </w:r>
      <w:r w:rsidR="008870ED" w:rsidRPr="008E781C">
        <w:rPr>
          <w:lang w:val="en-GB"/>
        </w:rPr>
        <w:t xml:space="preserve">Following </w:t>
      </w:r>
      <w:r w:rsidR="00876F0E" w:rsidRPr="008E781C">
        <w:rPr>
          <w:lang w:val="en-GB"/>
        </w:rPr>
        <w:t>the evalu</w:t>
      </w:r>
      <w:r w:rsidR="00092998" w:rsidRPr="008E781C">
        <w:rPr>
          <w:lang w:val="en-GB"/>
        </w:rPr>
        <w:t xml:space="preserve">ation in the report, the </w:t>
      </w:r>
      <w:r w:rsidR="008870ED" w:rsidRPr="008E781C">
        <w:rPr>
          <w:lang w:val="en-GB"/>
        </w:rPr>
        <w:t xml:space="preserve">said </w:t>
      </w:r>
      <w:r w:rsidR="00092998" w:rsidRPr="008E781C">
        <w:rPr>
          <w:lang w:val="en-GB"/>
        </w:rPr>
        <w:t>Council can approve Instructions to establish a</w:t>
      </w:r>
      <w:r w:rsidR="008870ED" w:rsidRPr="008E781C">
        <w:rPr>
          <w:lang w:val="en-GB"/>
        </w:rPr>
        <w:t>n</w:t>
      </w:r>
      <w:r w:rsidR="00092998" w:rsidRPr="008E781C">
        <w:rPr>
          <w:lang w:val="en-GB"/>
        </w:rPr>
        <w:t xml:space="preserve"> entry and stay </w:t>
      </w:r>
      <w:r w:rsidR="008870ED" w:rsidRPr="008E781C">
        <w:rPr>
          <w:lang w:val="en-GB"/>
        </w:rPr>
        <w:t xml:space="preserve">procedure for </w:t>
      </w:r>
      <w:r w:rsidR="008870ED" w:rsidRPr="008E781C">
        <w:rPr>
          <w:b/>
          <w:lang w:val="en-GB"/>
        </w:rPr>
        <w:t xml:space="preserve">national interest </w:t>
      </w:r>
      <w:r w:rsidR="00092998" w:rsidRPr="008E781C">
        <w:rPr>
          <w:b/>
          <w:lang w:val="en-GB"/>
        </w:rPr>
        <w:t>economic reasons</w:t>
      </w:r>
      <w:r w:rsidR="00092998" w:rsidRPr="008E781C">
        <w:rPr>
          <w:lang w:val="en-GB"/>
        </w:rPr>
        <w:t xml:space="preserve"> in cases which are not</w:t>
      </w:r>
      <w:r w:rsidR="008870ED" w:rsidRPr="008E781C">
        <w:rPr>
          <w:lang w:val="en-GB"/>
        </w:rPr>
        <w:t xml:space="preserve"> already</w:t>
      </w:r>
      <w:r w:rsidR="00092998" w:rsidRPr="008E781C">
        <w:rPr>
          <w:lang w:val="en-GB"/>
        </w:rPr>
        <w:t xml:space="preserve"> established by the Law</w:t>
      </w:r>
      <w:r w:rsidR="008870ED" w:rsidRPr="008E781C">
        <w:rPr>
          <w:lang w:val="en-GB"/>
        </w:rPr>
        <w:t>.</w:t>
      </w:r>
      <w:r w:rsidR="00092998" w:rsidRPr="008E781C">
        <w:rPr>
          <w:rStyle w:val="FootnoteReference"/>
          <w:lang w:val="en-GB"/>
        </w:rPr>
        <w:footnoteReference w:id="138"/>
      </w:r>
      <w:r w:rsidR="00876F0E" w:rsidRPr="008E781C">
        <w:rPr>
          <w:lang w:val="en-GB"/>
        </w:rPr>
        <w:t xml:space="preserve"> </w:t>
      </w:r>
      <w:r w:rsidR="00A80D3C" w:rsidRPr="008E781C">
        <w:rPr>
          <w:lang w:val="en-GB"/>
        </w:rPr>
        <w:t xml:space="preserve">To date there no </w:t>
      </w:r>
      <w:r w:rsidR="00344B90" w:rsidRPr="008E781C">
        <w:rPr>
          <w:lang w:val="en-GB"/>
        </w:rPr>
        <w:t>such I</w:t>
      </w:r>
      <w:r w:rsidR="00A80D3C" w:rsidRPr="008E781C">
        <w:rPr>
          <w:lang w:val="en-GB"/>
        </w:rPr>
        <w:t>nstructions</w:t>
      </w:r>
      <w:r w:rsidR="00344B90" w:rsidRPr="008E781C">
        <w:rPr>
          <w:lang w:val="en-GB"/>
        </w:rPr>
        <w:t xml:space="preserve"> have been approved</w:t>
      </w:r>
      <w:r w:rsidR="00A80D3C" w:rsidRPr="008E781C">
        <w:rPr>
          <w:lang w:val="en-GB"/>
        </w:rPr>
        <w:t xml:space="preserve">. </w:t>
      </w:r>
      <w:r w:rsidR="00A264A3" w:rsidRPr="008E781C">
        <w:rPr>
          <w:lang w:val="en-GB"/>
        </w:rPr>
        <w:t>At present</w:t>
      </w:r>
      <w:r w:rsidR="003839AD" w:rsidRPr="008E781C">
        <w:rPr>
          <w:lang w:val="en-GB"/>
        </w:rPr>
        <w:t xml:space="preserve">, only one report </w:t>
      </w:r>
      <w:r w:rsidR="00A264A3" w:rsidRPr="008E781C">
        <w:rPr>
          <w:lang w:val="en-GB"/>
        </w:rPr>
        <w:t xml:space="preserve">is </w:t>
      </w:r>
      <w:r w:rsidR="008870ED" w:rsidRPr="008E781C">
        <w:rPr>
          <w:lang w:val="en-GB"/>
        </w:rPr>
        <w:t>publicly</w:t>
      </w:r>
      <w:r w:rsidR="003839AD" w:rsidRPr="008E781C">
        <w:rPr>
          <w:lang w:val="en-GB"/>
        </w:rPr>
        <w:t xml:space="preserve"> available</w:t>
      </w:r>
      <w:r w:rsidR="008F2625" w:rsidRPr="008E781C">
        <w:rPr>
          <w:lang w:val="en-GB"/>
        </w:rPr>
        <w:t>:</w:t>
      </w:r>
      <w:r w:rsidR="003839AD" w:rsidRPr="008E781C">
        <w:rPr>
          <w:lang w:val="en-GB"/>
        </w:rPr>
        <w:t xml:space="preserve"> the first </w:t>
      </w:r>
      <w:r w:rsidR="008870ED" w:rsidRPr="008E781C">
        <w:rPr>
          <w:lang w:val="en-GB"/>
        </w:rPr>
        <w:t>report</w:t>
      </w:r>
      <w:r w:rsidR="003839AD" w:rsidRPr="008E781C">
        <w:rPr>
          <w:lang w:val="en-GB"/>
        </w:rPr>
        <w:t xml:space="preserve"> drafted</w:t>
      </w:r>
      <w:r w:rsidR="008870ED" w:rsidRPr="008E781C">
        <w:rPr>
          <w:lang w:val="en-GB"/>
        </w:rPr>
        <w:t xml:space="preserve"> after the entry into force of Law 14/2013, which was issued</w:t>
      </w:r>
      <w:r w:rsidR="003839AD" w:rsidRPr="008E781C">
        <w:rPr>
          <w:lang w:val="en-GB"/>
        </w:rPr>
        <w:t xml:space="preserve"> in 2015</w:t>
      </w:r>
      <w:r w:rsidR="008F2625" w:rsidRPr="008E781C">
        <w:rPr>
          <w:lang w:val="en-GB"/>
        </w:rPr>
        <w:t xml:space="preserve"> (the 2015 Report).</w:t>
      </w:r>
      <w:r w:rsidR="003839AD" w:rsidRPr="008E781C">
        <w:rPr>
          <w:rStyle w:val="FootnoteReference"/>
          <w:lang w:val="en-GB"/>
        </w:rPr>
        <w:footnoteReference w:id="139"/>
      </w:r>
    </w:p>
    <w:p w14:paraId="2B7A3BCB" w14:textId="293A3177" w:rsidR="002636C6" w:rsidRPr="008E781C" w:rsidRDefault="002636C6" w:rsidP="00204BA5">
      <w:pPr>
        <w:pStyle w:val="MBT"/>
        <w:rPr>
          <w:lang w:val="en-GB"/>
        </w:rPr>
      </w:pPr>
    </w:p>
    <w:p w14:paraId="38886119" w14:textId="77777777" w:rsidR="00EA43F7" w:rsidRPr="008E781C" w:rsidRDefault="00EA43F7" w:rsidP="00204BA5">
      <w:pPr>
        <w:pStyle w:val="MBT"/>
        <w:rPr>
          <w:lang w:val="en-GB"/>
        </w:rPr>
      </w:pPr>
    </w:p>
    <w:p w14:paraId="76241496" w14:textId="3BCDF611" w:rsidR="00B311A7" w:rsidRPr="008E781C" w:rsidRDefault="00B311A7" w:rsidP="0001799A">
      <w:pPr>
        <w:pStyle w:val="MH2"/>
        <w:outlineLvl w:val="9"/>
      </w:pPr>
      <w:bookmarkStart w:id="16" w:name="_Hlk496121550"/>
      <w:r w:rsidRPr="008E781C">
        <w:t>Information on applications</w:t>
      </w:r>
    </w:p>
    <w:p w14:paraId="5B732764" w14:textId="6A09471A" w:rsidR="008870ED" w:rsidRPr="008E781C" w:rsidRDefault="008870ED" w:rsidP="002636C6">
      <w:pPr>
        <w:pStyle w:val="MBT"/>
        <w:rPr>
          <w:lang w:val="en-GB"/>
        </w:rPr>
      </w:pPr>
      <w:bookmarkStart w:id="17" w:name="_Hlk496121669"/>
      <w:bookmarkEnd w:id="16"/>
      <w:r w:rsidRPr="008E781C">
        <w:rPr>
          <w:lang w:val="en-GB"/>
        </w:rPr>
        <w:t xml:space="preserve">Law 14/2013 does </w:t>
      </w:r>
      <w:r w:rsidRPr="008E781C">
        <w:rPr>
          <w:b/>
          <w:lang w:val="en-GB"/>
        </w:rPr>
        <w:t>not establish an</w:t>
      </w:r>
      <w:r w:rsidRPr="008E781C">
        <w:rPr>
          <w:lang w:val="en-GB"/>
        </w:rPr>
        <w:t xml:space="preserve"> </w:t>
      </w:r>
      <w:r w:rsidRPr="008E781C">
        <w:rPr>
          <w:b/>
          <w:lang w:val="en-GB"/>
        </w:rPr>
        <w:t>obligation to disclose the name</w:t>
      </w:r>
      <w:r w:rsidR="00A264A3" w:rsidRPr="008E781C">
        <w:rPr>
          <w:b/>
          <w:lang w:val="en-GB"/>
        </w:rPr>
        <w:t>s</w:t>
      </w:r>
      <w:r w:rsidRPr="008E781C">
        <w:rPr>
          <w:b/>
          <w:lang w:val="en-GB"/>
        </w:rPr>
        <w:t xml:space="preserve"> of successful applicants</w:t>
      </w:r>
      <w:r w:rsidRPr="008E781C">
        <w:rPr>
          <w:lang w:val="en-GB"/>
        </w:rPr>
        <w:t>. This could be in contradiction with the Organic Law on the on the Protection of Personal Data.</w:t>
      </w:r>
      <w:r w:rsidRPr="008E781C">
        <w:rPr>
          <w:vertAlign w:val="superscript"/>
          <w:lang w:val="en-GB"/>
        </w:rPr>
        <w:footnoteReference w:id="140"/>
      </w:r>
      <w:r w:rsidRPr="008E781C">
        <w:rPr>
          <w:lang w:val="en-GB"/>
        </w:rPr>
        <w:t xml:space="preserve"> </w:t>
      </w:r>
      <w:r w:rsidR="00A264A3" w:rsidRPr="008E781C">
        <w:rPr>
          <w:lang w:val="en-GB"/>
        </w:rPr>
        <w:t>On</w:t>
      </w:r>
      <w:r w:rsidR="00E041B2" w:rsidRPr="008E781C">
        <w:rPr>
          <w:lang w:val="en-GB"/>
        </w:rPr>
        <w:t xml:space="preserve"> the basis of the Law on Access to Public Information</w:t>
      </w:r>
      <w:r w:rsidR="00E041B2" w:rsidRPr="008E781C">
        <w:rPr>
          <w:rStyle w:val="FootnoteReference"/>
          <w:lang w:val="en-GB"/>
        </w:rPr>
        <w:footnoteReference w:id="141"/>
      </w:r>
      <w:r w:rsidR="00E041B2" w:rsidRPr="008E781C">
        <w:rPr>
          <w:lang w:val="en-GB"/>
        </w:rPr>
        <w:t xml:space="preserve"> a request for information could be filed with the competent authorities. Nevertheless, the said law also foresees certain limits to the access to public information which are in line with the protection of personal data</w:t>
      </w:r>
      <w:r w:rsidR="008F2625" w:rsidRPr="008E781C">
        <w:rPr>
          <w:lang w:val="en-GB"/>
        </w:rPr>
        <w:t>.</w:t>
      </w:r>
      <w:r w:rsidR="00E041B2" w:rsidRPr="008E781C">
        <w:rPr>
          <w:rStyle w:val="FootnoteReference"/>
          <w:lang w:val="en-GB"/>
        </w:rPr>
        <w:footnoteReference w:id="142"/>
      </w:r>
      <w:r w:rsidR="00E041B2" w:rsidRPr="008E781C">
        <w:rPr>
          <w:lang w:val="en-GB"/>
        </w:rPr>
        <w:t xml:space="preserve"> </w:t>
      </w:r>
      <w:r w:rsidR="008F2625" w:rsidRPr="008E781C">
        <w:rPr>
          <w:lang w:val="en-GB"/>
        </w:rPr>
        <w:t>This situation</w:t>
      </w:r>
      <w:r w:rsidR="00E041B2" w:rsidRPr="008E781C">
        <w:rPr>
          <w:lang w:val="en-GB"/>
        </w:rPr>
        <w:t xml:space="preserve"> makes </w:t>
      </w:r>
      <w:r w:rsidR="00A264A3" w:rsidRPr="008E781C">
        <w:rPr>
          <w:lang w:val="en-GB"/>
        </w:rPr>
        <w:t>obtaining</w:t>
      </w:r>
      <w:r w:rsidR="00E041B2" w:rsidRPr="008E781C">
        <w:rPr>
          <w:lang w:val="en-GB"/>
        </w:rPr>
        <w:t xml:space="preserve"> the names of successful applicants impracticable. </w:t>
      </w:r>
    </w:p>
    <w:p w14:paraId="0A1F2019" w14:textId="671F14F4" w:rsidR="00E041B2" w:rsidRPr="008E781C" w:rsidRDefault="00E041B2" w:rsidP="002636C6">
      <w:pPr>
        <w:pStyle w:val="MBT"/>
        <w:rPr>
          <w:lang w:val="en-GB"/>
        </w:rPr>
      </w:pPr>
    </w:p>
    <w:p w14:paraId="6A8C65E3" w14:textId="00A20225" w:rsidR="00F711B8" w:rsidRPr="008E781C" w:rsidRDefault="00E041B2" w:rsidP="00A612C7">
      <w:pPr>
        <w:pStyle w:val="MBT"/>
        <w:rPr>
          <w:color w:val="000000" w:themeColor="text1"/>
          <w:lang w:val="en-GB"/>
        </w:rPr>
      </w:pPr>
      <w:r w:rsidRPr="008E781C">
        <w:rPr>
          <w:lang w:val="en-GB"/>
        </w:rPr>
        <w:t xml:space="preserve">However, </w:t>
      </w:r>
      <w:r w:rsidRPr="008E781C">
        <w:rPr>
          <w:b/>
          <w:lang w:val="en-GB"/>
        </w:rPr>
        <w:t>statistics</w:t>
      </w:r>
      <w:r w:rsidRPr="008E781C">
        <w:rPr>
          <w:lang w:val="en-GB"/>
        </w:rPr>
        <w:t xml:space="preserve"> are publicly available. </w:t>
      </w:r>
      <w:r w:rsidR="009F7E20" w:rsidRPr="008E781C">
        <w:rPr>
          <w:lang w:val="en-GB"/>
        </w:rPr>
        <w:t>The 2015 Report</w:t>
      </w:r>
      <w:r w:rsidR="008F2625" w:rsidRPr="008E781C">
        <w:rPr>
          <w:rStyle w:val="FootnoteReference"/>
          <w:color w:val="000000" w:themeColor="text1"/>
          <w:lang w:val="en-GB"/>
        </w:rPr>
        <w:footnoteReference w:id="143"/>
      </w:r>
      <w:r w:rsidR="009F7E20" w:rsidRPr="008E781C">
        <w:rPr>
          <w:lang w:val="en-GB"/>
        </w:rPr>
        <w:t xml:space="preserve"> of the MESS on the implementation of Law 14/2013 as regards international mobility (including foreign investors) informs that </w:t>
      </w:r>
      <w:r w:rsidR="009F7E20" w:rsidRPr="008E781C">
        <w:rPr>
          <w:color w:val="000000" w:themeColor="text1"/>
          <w:lang w:val="en-GB"/>
        </w:rPr>
        <w:t xml:space="preserve">between </w:t>
      </w:r>
      <w:r w:rsidR="00A568F6" w:rsidRPr="008E781C">
        <w:rPr>
          <w:color w:val="000000" w:themeColor="text1"/>
          <w:lang w:val="en-GB"/>
        </w:rPr>
        <w:t xml:space="preserve">30 </w:t>
      </w:r>
      <w:r w:rsidR="00A612C7" w:rsidRPr="008E781C">
        <w:rPr>
          <w:color w:val="000000" w:themeColor="text1"/>
          <w:lang w:val="en-GB"/>
        </w:rPr>
        <w:t xml:space="preserve">September 2013 and </w:t>
      </w:r>
      <w:r w:rsidR="00A568F6" w:rsidRPr="008E781C">
        <w:rPr>
          <w:color w:val="000000" w:themeColor="text1"/>
          <w:lang w:val="en-GB"/>
        </w:rPr>
        <w:t xml:space="preserve">31 </w:t>
      </w:r>
      <w:r w:rsidR="00A612C7" w:rsidRPr="008E781C">
        <w:rPr>
          <w:color w:val="000000" w:themeColor="text1"/>
          <w:lang w:val="en-GB"/>
        </w:rPr>
        <w:t xml:space="preserve">December 2014 a total of 531 visa and/or residence </w:t>
      </w:r>
      <w:r w:rsidR="00EC27EF" w:rsidRPr="008E781C">
        <w:rPr>
          <w:color w:val="000000" w:themeColor="text1"/>
          <w:lang w:val="en-GB"/>
        </w:rPr>
        <w:t xml:space="preserve">authorisations </w:t>
      </w:r>
      <w:r w:rsidR="00A612C7" w:rsidRPr="008E781C">
        <w:rPr>
          <w:color w:val="000000" w:themeColor="text1"/>
          <w:lang w:val="en-GB"/>
        </w:rPr>
        <w:t>were granted to investors</w:t>
      </w:r>
      <w:r w:rsidR="00215915" w:rsidRPr="008E781C">
        <w:rPr>
          <w:color w:val="000000" w:themeColor="text1"/>
          <w:lang w:val="en-GB"/>
        </w:rPr>
        <w:t xml:space="preserve"> (this data does not include family members)</w:t>
      </w:r>
      <w:r w:rsidR="00A612C7" w:rsidRPr="008E781C">
        <w:rPr>
          <w:color w:val="000000" w:themeColor="text1"/>
          <w:lang w:val="en-GB"/>
        </w:rPr>
        <w:t xml:space="preserve">. </w:t>
      </w:r>
      <w:r w:rsidR="0067309B" w:rsidRPr="008E781C">
        <w:rPr>
          <w:color w:val="000000" w:themeColor="text1"/>
          <w:lang w:val="en-GB"/>
        </w:rPr>
        <w:t>This represents 17% of all visa types included in Article 61 of Law 14/2013 (investors, entrepreneurship, highly qualified professionals, research and intra-</w:t>
      </w:r>
      <w:r w:rsidR="00A264A3" w:rsidRPr="008E781C">
        <w:rPr>
          <w:color w:val="000000" w:themeColor="text1"/>
          <w:lang w:val="en-GB"/>
        </w:rPr>
        <w:t xml:space="preserve">corporate </w:t>
      </w:r>
      <w:r w:rsidR="0067309B" w:rsidRPr="008E781C">
        <w:rPr>
          <w:color w:val="000000" w:themeColor="text1"/>
          <w:lang w:val="en-GB"/>
        </w:rPr>
        <w:t xml:space="preserve">transfers). </w:t>
      </w:r>
      <w:r w:rsidR="00A612C7" w:rsidRPr="008E781C">
        <w:rPr>
          <w:color w:val="000000" w:themeColor="text1"/>
          <w:lang w:val="en-GB"/>
        </w:rPr>
        <w:t xml:space="preserve">The total value of investments </w:t>
      </w:r>
      <w:r w:rsidR="00B708FD" w:rsidRPr="008E781C">
        <w:rPr>
          <w:color w:val="000000" w:themeColor="text1"/>
          <w:lang w:val="en-GB"/>
        </w:rPr>
        <w:t xml:space="preserve">was </w:t>
      </w:r>
      <w:r w:rsidR="0094689A" w:rsidRPr="008E781C">
        <w:rPr>
          <w:color w:val="000000" w:themeColor="text1"/>
          <w:lang w:val="en-GB"/>
        </w:rPr>
        <w:t>EUR</w:t>
      </w:r>
      <w:r w:rsidR="00A612C7" w:rsidRPr="008E781C">
        <w:rPr>
          <w:color w:val="000000" w:themeColor="text1"/>
          <w:lang w:val="en-GB"/>
        </w:rPr>
        <w:t xml:space="preserve"> 446</w:t>
      </w:r>
      <w:r w:rsidR="00B708FD" w:rsidRPr="008E781C">
        <w:rPr>
          <w:color w:val="000000" w:themeColor="text1"/>
          <w:lang w:val="en-GB"/>
        </w:rPr>
        <w:t>,</w:t>
      </w:r>
      <w:r w:rsidR="00A612C7" w:rsidRPr="008E781C">
        <w:rPr>
          <w:color w:val="000000" w:themeColor="text1"/>
          <w:lang w:val="en-GB"/>
        </w:rPr>
        <w:t>843</w:t>
      </w:r>
      <w:r w:rsidR="00B708FD" w:rsidRPr="008E781C">
        <w:rPr>
          <w:color w:val="000000" w:themeColor="text1"/>
          <w:lang w:val="en-GB"/>
        </w:rPr>
        <w:t>,</w:t>
      </w:r>
      <w:r w:rsidR="00A612C7" w:rsidRPr="008E781C">
        <w:rPr>
          <w:color w:val="000000" w:themeColor="text1"/>
          <w:lang w:val="en-GB"/>
        </w:rPr>
        <w:t>921.</w:t>
      </w:r>
      <w:r w:rsidR="00AA2C52" w:rsidRPr="008E781C">
        <w:rPr>
          <w:rStyle w:val="FootnoteReference"/>
          <w:color w:val="000000" w:themeColor="text1"/>
          <w:lang w:val="en-GB"/>
        </w:rPr>
        <w:footnoteReference w:id="144"/>
      </w:r>
      <w:r w:rsidR="00F711B8" w:rsidRPr="008E781C">
        <w:rPr>
          <w:color w:val="000000" w:themeColor="text1"/>
          <w:lang w:val="en-GB"/>
        </w:rPr>
        <w:t xml:space="preserve"> Official statistics from the MESS are only available f</w:t>
      </w:r>
      <w:r w:rsidR="00446E8A" w:rsidRPr="008E781C">
        <w:rPr>
          <w:color w:val="000000" w:themeColor="text1"/>
          <w:lang w:val="en-GB"/>
        </w:rPr>
        <w:t>or the reference period 30 September 2013 and 31 December 2014</w:t>
      </w:r>
      <w:r w:rsidR="00F711B8" w:rsidRPr="008E781C">
        <w:rPr>
          <w:color w:val="000000" w:themeColor="text1"/>
          <w:lang w:val="en-GB"/>
        </w:rPr>
        <w:t>.</w:t>
      </w:r>
      <w:r w:rsidR="00446E8A" w:rsidRPr="008E781C">
        <w:rPr>
          <w:color w:val="000000" w:themeColor="text1"/>
          <w:lang w:val="en-GB"/>
        </w:rPr>
        <w:t xml:space="preserve"> </w:t>
      </w:r>
      <w:r w:rsidR="009F7E20" w:rsidRPr="008E781C">
        <w:rPr>
          <w:color w:val="000000" w:themeColor="text1"/>
          <w:lang w:val="en-GB"/>
        </w:rPr>
        <w:t xml:space="preserve">Table </w:t>
      </w:r>
      <w:r w:rsidR="00B94B76" w:rsidRPr="008E781C">
        <w:rPr>
          <w:color w:val="000000" w:themeColor="text1"/>
          <w:lang w:val="en-GB"/>
        </w:rPr>
        <w:t>3</w:t>
      </w:r>
      <w:r w:rsidR="001B3C6E" w:rsidRPr="008E781C">
        <w:rPr>
          <w:color w:val="000000" w:themeColor="text1"/>
          <w:lang w:val="en-GB"/>
        </w:rPr>
        <w:t xml:space="preserve"> </w:t>
      </w:r>
      <w:r w:rsidR="00F711B8" w:rsidRPr="008E781C">
        <w:rPr>
          <w:color w:val="000000" w:themeColor="text1"/>
          <w:lang w:val="en-GB"/>
        </w:rPr>
        <w:t>below show</w:t>
      </w:r>
      <w:r w:rsidR="001B3C6E" w:rsidRPr="008E781C">
        <w:rPr>
          <w:color w:val="000000" w:themeColor="text1"/>
          <w:lang w:val="en-GB"/>
        </w:rPr>
        <w:t>s</w:t>
      </w:r>
      <w:r w:rsidR="009F7E20" w:rsidRPr="008E781C">
        <w:rPr>
          <w:color w:val="000000" w:themeColor="text1"/>
          <w:lang w:val="en-GB"/>
        </w:rPr>
        <w:t xml:space="preserve"> the total investments per type and the value they represent in the total investments</w:t>
      </w:r>
      <w:r w:rsidR="00B708FD" w:rsidRPr="008E781C">
        <w:rPr>
          <w:color w:val="000000" w:themeColor="text1"/>
          <w:lang w:val="en-GB"/>
        </w:rPr>
        <w:t xml:space="preserve"> made</w:t>
      </w:r>
      <w:r w:rsidR="009F7E20" w:rsidRPr="008E781C">
        <w:rPr>
          <w:color w:val="000000" w:themeColor="text1"/>
          <w:lang w:val="en-GB"/>
        </w:rPr>
        <w:t>.</w:t>
      </w:r>
    </w:p>
    <w:p w14:paraId="092F2944" w14:textId="77777777" w:rsidR="00F711B8" w:rsidRPr="008E781C" w:rsidRDefault="00F711B8" w:rsidP="00A612C7">
      <w:pPr>
        <w:pStyle w:val="MBT"/>
        <w:rPr>
          <w:color w:val="000000" w:themeColor="text1"/>
          <w:lang w:val="en-GB"/>
        </w:rPr>
      </w:pPr>
    </w:p>
    <w:p w14:paraId="1E81A1A1" w14:textId="5CABF755" w:rsidR="00F711B8" w:rsidRPr="008E781C" w:rsidRDefault="00F711B8" w:rsidP="00F711B8">
      <w:pPr>
        <w:pStyle w:val="MBT"/>
        <w:rPr>
          <w:i/>
          <w:color w:val="FF0000"/>
          <w:lang w:val="en-GB"/>
        </w:rPr>
      </w:pPr>
      <w:r w:rsidRPr="008E781C">
        <w:rPr>
          <w:color w:val="000000" w:themeColor="text1"/>
          <w:lang w:val="en-GB"/>
        </w:rPr>
        <w:t>More recent statistics were reported in newspaper articles on the basis of a Report of the Ministry of Economy.</w:t>
      </w:r>
      <w:r w:rsidRPr="008E781C">
        <w:rPr>
          <w:rStyle w:val="FootnoteReference"/>
          <w:color w:val="000000" w:themeColor="text1"/>
          <w:lang w:val="en-GB"/>
        </w:rPr>
        <w:footnoteReference w:id="145"/>
      </w:r>
      <w:r w:rsidRPr="008E781C">
        <w:rPr>
          <w:color w:val="000000" w:themeColor="text1"/>
          <w:lang w:val="en-GB"/>
        </w:rPr>
        <w:t xml:space="preserve"> This data is reflected in Section V of this Report. However, the original source of the Ministry of Economy has not been found. The consulted representative of the General Secretariat on Migration could not confirm whether or not such report exists.</w:t>
      </w:r>
      <w:r w:rsidRPr="008E781C">
        <w:rPr>
          <w:rStyle w:val="FootnoteReference"/>
          <w:color w:val="000000" w:themeColor="text1"/>
          <w:lang w:val="en-GB"/>
        </w:rPr>
        <w:footnoteReference w:id="146"/>
      </w:r>
      <w:r w:rsidRPr="008E781C">
        <w:rPr>
          <w:color w:val="000000" w:themeColor="text1"/>
          <w:lang w:val="en-GB"/>
        </w:rPr>
        <w:t xml:space="preserve"> The MESS also has a specific online portal on statistics.</w:t>
      </w:r>
      <w:r w:rsidRPr="008E781C">
        <w:rPr>
          <w:rStyle w:val="FootnoteReference"/>
          <w:color w:val="000000" w:themeColor="text1"/>
          <w:lang w:val="en-GB"/>
        </w:rPr>
        <w:footnoteReference w:id="147"/>
      </w:r>
      <w:r w:rsidRPr="008E781C">
        <w:rPr>
          <w:color w:val="000000" w:themeColor="text1"/>
          <w:lang w:val="en-GB"/>
        </w:rPr>
        <w:t xml:space="preserve"> However, such statistics, even if very complete, only report on the number of foreigners who obtained residence permits or nationality, without disaggregating the data per type of permit. Thus, no specific statistical information on the investors’ residence permits is available.</w:t>
      </w:r>
    </w:p>
    <w:p w14:paraId="5A9A2E6B" w14:textId="286B1297" w:rsidR="009F7E20" w:rsidRPr="008E781C" w:rsidRDefault="009F7E20" w:rsidP="005370CE">
      <w:pPr>
        <w:pStyle w:val="Caption"/>
        <w:keepNext/>
      </w:pPr>
      <w:r w:rsidRPr="008E781C">
        <w:lastRenderedPageBreak/>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3</w:t>
      </w:r>
      <w:r w:rsidR="00697A0F" w:rsidRPr="008E781C">
        <w:rPr>
          <w:noProof/>
        </w:rPr>
        <w:fldChar w:fldCharType="end"/>
      </w:r>
      <w:r w:rsidRPr="008E781C">
        <w:t xml:space="preserve"> - Type of investment and value they represent (EUR and %)</w:t>
      </w:r>
      <w:r w:rsidR="001B3C6E" w:rsidRPr="008E781C">
        <w:t xml:space="preserve"> (30 September 2013 – 31 December 2014)</w:t>
      </w:r>
    </w:p>
    <w:tbl>
      <w:tblPr>
        <w:tblStyle w:val="MTableStyle"/>
        <w:tblW w:w="5000" w:type="pct"/>
        <w:jc w:val="center"/>
        <w:tblLayout w:type="fixed"/>
        <w:tblLook w:val="04A0" w:firstRow="1" w:lastRow="0" w:firstColumn="1" w:lastColumn="0" w:noHBand="0" w:noVBand="1"/>
      </w:tblPr>
      <w:tblGrid>
        <w:gridCol w:w="1408"/>
        <w:gridCol w:w="1983"/>
        <w:gridCol w:w="1987"/>
        <w:gridCol w:w="1841"/>
        <w:gridCol w:w="1787"/>
      </w:tblGrid>
      <w:tr w:rsidR="009F7E20" w:rsidRPr="008E781C" w14:paraId="50A3B140" w14:textId="77777777" w:rsidTr="008C791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782" w:type="pct"/>
            <w:shd w:val="clear" w:color="auto" w:fill="4F81BD" w:themeFill="accent1"/>
            <w:noWrap/>
            <w:hideMark/>
          </w:tcPr>
          <w:p w14:paraId="7A4A37F8" w14:textId="4080EFAB" w:rsidR="00A612C7" w:rsidRPr="008E781C" w:rsidRDefault="009F7E20" w:rsidP="00A612C7">
            <w:pPr>
              <w:pStyle w:val="MBT"/>
              <w:rPr>
                <w:rFonts w:ascii="Century Gothic" w:hAnsi="Century Gothic"/>
                <w:sz w:val="18"/>
                <w:szCs w:val="18"/>
                <w:lang w:val="en-GB"/>
              </w:rPr>
            </w:pPr>
            <w:r w:rsidRPr="008E781C">
              <w:rPr>
                <w:rFonts w:ascii="Century Gothic" w:hAnsi="Century Gothic"/>
                <w:sz w:val="18"/>
                <w:szCs w:val="18"/>
                <w:lang w:val="en-GB"/>
              </w:rPr>
              <w:t>Type of investment</w:t>
            </w:r>
          </w:p>
        </w:tc>
        <w:tc>
          <w:tcPr>
            <w:tcW w:w="1101" w:type="pct"/>
            <w:shd w:val="clear" w:color="auto" w:fill="4F81BD" w:themeFill="accent1"/>
            <w:noWrap/>
            <w:hideMark/>
          </w:tcPr>
          <w:p w14:paraId="0C5212DE" w14:textId="6E6B1C2F" w:rsidR="00A612C7" w:rsidRPr="008E781C" w:rsidRDefault="009F7E20" w:rsidP="00A612C7">
            <w:pPr>
              <w:pStyle w:val="MBT"/>
              <w:rPr>
                <w:rFonts w:ascii="Century Gothic" w:hAnsi="Century Gothic"/>
                <w:sz w:val="18"/>
                <w:szCs w:val="18"/>
                <w:lang w:val="en-GB"/>
              </w:rPr>
            </w:pPr>
            <w:r w:rsidRPr="008E781C">
              <w:rPr>
                <w:rFonts w:ascii="Century Gothic" w:hAnsi="Century Gothic"/>
                <w:sz w:val="18"/>
                <w:szCs w:val="18"/>
                <w:lang w:val="en-GB"/>
              </w:rPr>
              <w:t xml:space="preserve">Total number of investments </w:t>
            </w:r>
          </w:p>
        </w:tc>
        <w:tc>
          <w:tcPr>
            <w:tcW w:w="1103" w:type="pct"/>
            <w:shd w:val="clear" w:color="auto" w:fill="4F81BD" w:themeFill="accent1"/>
            <w:noWrap/>
            <w:hideMark/>
          </w:tcPr>
          <w:p w14:paraId="43AA862C" w14:textId="74B38761" w:rsidR="00A612C7" w:rsidRPr="008E781C" w:rsidRDefault="00A612C7" w:rsidP="00A612C7">
            <w:pPr>
              <w:pStyle w:val="MBT"/>
              <w:rPr>
                <w:rFonts w:ascii="Century Gothic" w:hAnsi="Century Gothic"/>
                <w:sz w:val="18"/>
                <w:szCs w:val="18"/>
                <w:lang w:val="en-GB"/>
              </w:rPr>
            </w:pPr>
            <w:r w:rsidRPr="008E781C">
              <w:rPr>
                <w:rFonts w:ascii="Century Gothic" w:hAnsi="Century Gothic"/>
                <w:sz w:val="18"/>
                <w:szCs w:val="18"/>
                <w:lang w:val="en-GB"/>
              </w:rPr>
              <w:t>%</w:t>
            </w:r>
            <w:r w:rsidR="009F7E20" w:rsidRPr="008E781C">
              <w:rPr>
                <w:rFonts w:ascii="Century Gothic" w:hAnsi="Century Gothic"/>
                <w:sz w:val="18"/>
                <w:szCs w:val="18"/>
                <w:lang w:val="en-GB"/>
              </w:rPr>
              <w:t xml:space="preserve"> represented in the total of </w:t>
            </w:r>
            <w:r w:rsidR="00A264A3" w:rsidRPr="008E781C">
              <w:rPr>
                <w:rFonts w:ascii="Century Gothic" w:hAnsi="Century Gothic"/>
                <w:sz w:val="18"/>
                <w:szCs w:val="18"/>
                <w:lang w:val="en-GB"/>
              </w:rPr>
              <w:t>investments</w:t>
            </w:r>
            <w:r w:rsidR="009F7E20" w:rsidRPr="008E781C">
              <w:rPr>
                <w:rFonts w:ascii="Century Gothic" w:hAnsi="Century Gothic"/>
                <w:sz w:val="18"/>
                <w:szCs w:val="18"/>
                <w:lang w:val="en-GB"/>
              </w:rPr>
              <w:t xml:space="preserve"> </w:t>
            </w:r>
          </w:p>
        </w:tc>
        <w:tc>
          <w:tcPr>
            <w:tcW w:w="1022" w:type="pct"/>
            <w:shd w:val="clear" w:color="auto" w:fill="4F81BD" w:themeFill="accent1"/>
            <w:noWrap/>
            <w:hideMark/>
          </w:tcPr>
          <w:p w14:paraId="7FEA104F" w14:textId="77777777" w:rsidR="00A612C7" w:rsidRPr="008E781C" w:rsidRDefault="00A612C7" w:rsidP="00A612C7">
            <w:pPr>
              <w:pStyle w:val="MBT"/>
              <w:rPr>
                <w:rFonts w:ascii="Century Gothic" w:hAnsi="Century Gothic"/>
                <w:sz w:val="18"/>
                <w:szCs w:val="18"/>
                <w:lang w:val="en-GB"/>
              </w:rPr>
            </w:pPr>
            <w:r w:rsidRPr="008E781C">
              <w:rPr>
                <w:rFonts w:ascii="Century Gothic" w:hAnsi="Century Gothic"/>
                <w:sz w:val="18"/>
                <w:szCs w:val="18"/>
                <w:lang w:val="en-GB"/>
              </w:rPr>
              <w:t>Value (€)</w:t>
            </w:r>
          </w:p>
        </w:tc>
        <w:tc>
          <w:tcPr>
            <w:tcW w:w="992" w:type="pct"/>
            <w:shd w:val="clear" w:color="auto" w:fill="4F81BD" w:themeFill="accent1"/>
            <w:noWrap/>
            <w:hideMark/>
          </w:tcPr>
          <w:p w14:paraId="5180AE18" w14:textId="48B17599" w:rsidR="00A612C7" w:rsidRPr="008E781C" w:rsidRDefault="00A612C7" w:rsidP="00A612C7">
            <w:pPr>
              <w:pStyle w:val="MBT"/>
              <w:rPr>
                <w:rFonts w:ascii="Century Gothic" w:hAnsi="Century Gothic"/>
                <w:sz w:val="18"/>
                <w:szCs w:val="18"/>
                <w:lang w:val="en-GB"/>
              </w:rPr>
            </w:pPr>
            <w:r w:rsidRPr="008E781C">
              <w:rPr>
                <w:rFonts w:ascii="Century Gothic" w:hAnsi="Century Gothic"/>
                <w:sz w:val="18"/>
                <w:szCs w:val="18"/>
                <w:lang w:val="en-GB"/>
              </w:rPr>
              <w:t>%</w:t>
            </w:r>
            <w:r w:rsidR="009F7E20" w:rsidRPr="008E781C">
              <w:rPr>
                <w:rFonts w:ascii="Century Gothic" w:hAnsi="Century Gothic"/>
                <w:sz w:val="18"/>
                <w:szCs w:val="18"/>
                <w:lang w:val="en-GB"/>
              </w:rPr>
              <w:t xml:space="preserve"> represented in the total value of investment</w:t>
            </w:r>
          </w:p>
        </w:tc>
      </w:tr>
      <w:tr w:rsidR="009F7E20" w:rsidRPr="008E781C" w14:paraId="5074C020" w14:textId="77777777" w:rsidTr="008C791E">
        <w:trPr>
          <w:trHeight w:val="300"/>
          <w:jc w:val="center"/>
        </w:trPr>
        <w:tc>
          <w:tcPr>
            <w:tcW w:w="782" w:type="pct"/>
            <w:shd w:val="clear" w:color="auto" w:fill="DBE5F1" w:themeFill="accent1" w:themeFillTint="33"/>
            <w:noWrap/>
            <w:hideMark/>
          </w:tcPr>
          <w:p w14:paraId="32D3B89F"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Assets</w:t>
            </w:r>
          </w:p>
        </w:tc>
        <w:tc>
          <w:tcPr>
            <w:tcW w:w="1101" w:type="pct"/>
            <w:noWrap/>
            <w:hideMark/>
          </w:tcPr>
          <w:p w14:paraId="7F5E7377"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29</w:t>
            </w:r>
          </w:p>
        </w:tc>
        <w:tc>
          <w:tcPr>
            <w:tcW w:w="1103" w:type="pct"/>
            <w:noWrap/>
            <w:hideMark/>
          </w:tcPr>
          <w:p w14:paraId="658095E9" w14:textId="522FA94D"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5</w:t>
            </w:r>
            <w:r w:rsidR="00B708FD" w:rsidRPr="008E781C">
              <w:rPr>
                <w:rFonts w:cs="Calibri"/>
                <w:bCs w:val="0"/>
                <w:color w:val="000000"/>
                <w:sz w:val="18"/>
                <w:szCs w:val="18"/>
                <w:lang w:val="en-GB"/>
              </w:rPr>
              <w:t>.</w:t>
            </w:r>
            <w:r w:rsidRPr="008E781C">
              <w:rPr>
                <w:rFonts w:cs="Calibri"/>
                <w:bCs w:val="0"/>
                <w:color w:val="000000"/>
                <w:sz w:val="18"/>
                <w:szCs w:val="18"/>
                <w:lang w:val="en-GB"/>
              </w:rPr>
              <w:t>46</w:t>
            </w:r>
          </w:p>
        </w:tc>
        <w:tc>
          <w:tcPr>
            <w:tcW w:w="1022" w:type="pct"/>
            <w:noWrap/>
            <w:hideMark/>
          </w:tcPr>
          <w:p w14:paraId="11040B40" w14:textId="60A29CF5"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37</w:t>
            </w:r>
            <w:r w:rsidR="00B708FD" w:rsidRPr="008E781C">
              <w:rPr>
                <w:rFonts w:cs="Calibri"/>
                <w:bCs w:val="0"/>
                <w:color w:val="000000"/>
                <w:sz w:val="18"/>
                <w:szCs w:val="18"/>
                <w:lang w:val="en-GB"/>
              </w:rPr>
              <w:t>,</w:t>
            </w:r>
            <w:r w:rsidRPr="008E781C">
              <w:rPr>
                <w:rFonts w:cs="Calibri"/>
                <w:bCs w:val="0"/>
                <w:color w:val="000000"/>
                <w:sz w:val="18"/>
                <w:szCs w:val="18"/>
                <w:lang w:val="en-GB"/>
              </w:rPr>
              <w:t>543</w:t>
            </w:r>
            <w:r w:rsidR="00B708FD" w:rsidRPr="008E781C">
              <w:rPr>
                <w:rFonts w:cs="Calibri"/>
                <w:bCs w:val="0"/>
                <w:color w:val="000000"/>
                <w:sz w:val="18"/>
                <w:szCs w:val="18"/>
                <w:lang w:val="en-GB"/>
              </w:rPr>
              <w:t>,</w:t>
            </w:r>
            <w:r w:rsidRPr="008E781C">
              <w:rPr>
                <w:rFonts w:cs="Calibri"/>
                <w:bCs w:val="0"/>
                <w:color w:val="000000"/>
                <w:sz w:val="18"/>
                <w:szCs w:val="18"/>
                <w:lang w:val="en-GB"/>
              </w:rPr>
              <w:t>696</w:t>
            </w:r>
          </w:p>
        </w:tc>
        <w:tc>
          <w:tcPr>
            <w:tcW w:w="992" w:type="pct"/>
            <w:noWrap/>
            <w:hideMark/>
          </w:tcPr>
          <w:p w14:paraId="63305689" w14:textId="596C4130"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8</w:t>
            </w:r>
            <w:r w:rsidR="00B708FD" w:rsidRPr="008E781C">
              <w:rPr>
                <w:rFonts w:cs="Calibri"/>
                <w:bCs w:val="0"/>
                <w:color w:val="000000"/>
                <w:sz w:val="18"/>
                <w:szCs w:val="18"/>
                <w:lang w:val="en-GB"/>
              </w:rPr>
              <w:t>.</w:t>
            </w:r>
            <w:r w:rsidRPr="008E781C">
              <w:rPr>
                <w:rFonts w:cs="Calibri"/>
                <w:bCs w:val="0"/>
                <w:color w:val="000000"/>
                <w:sz w:val="18"/>
                <w:szCs w:val="18"/>
                <w:lang w:val="en-GB"/>
              </w:rPr>
              <w:t>4</w:t>
            </w:r>
          </w:p>
        </w:tc>
      </w:tr>
      <w:tr w:rsidR="009F7E20" w:rsidRPr="008E781C" w14:paraId="2E220163" w14:textId="77777777" w:rsidTr="008C791E">
        <w:trPr>
          <w:trHeight w:val="300"/>
          <w:jc w:val="center"/>
        </w:trPr>
        <w:tc>
          <w:tcPr>
            <w:tcW w:w="782" w:type="pct"/>
            <w:shd w:val="clear" w:color="auto" w:fill="DBE5F1" w:themeFill="accent1" w:themeFillTint="33"/>
            <w:noWrap/>
            <w:hideMark/>
          </w:tcPr>
          <w:p w14:paraId="29FB7D38"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Real estate</w:t>
            </w:r>
          </w:p>
        </w:tc>
        <w:tc>
          <w:tcPr>
            <w:tcW w:w="1101" w:type="pct"/>
            <w:noWrap/>
            <w:hideMark/>
          </w:tcPr>
          <w:p w14:paraId="2FFF8EE8"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490</w:t>
            </w:r>
          </w:p>
        </w:tc>
        <w:tc>
          <w:tcPr>
            <w:tcW w:w="1103" w:type="pct"/>
            <w:noWrap/>
            <w:hideMark/>
          </w:tcPr>
          <w:p w14:paraId="7A1A31A5" w14:textId="290DB4A4"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92</w:t>
            </w:r>
            <w:r w:rsidR="00B708FD" w:rsidRPr="008E781C">
              <w:rPr>
                <w:rFonts w:cs="Calibri"/>
                <w:bCs w:val="0"/>
                <w:color w:val="000000"/>
                <w:sz w:val="18"/>
                <w:szCs w:val="18"/>
                <w:lang w:val="en-GB"/>
              </w:rPr>
              <w:t>.</w:t>
            </w:r>
            <w:r w:rsidRPr="008E781C">
              <w:rPr>
                <w:rFonts w:cs="Calibri"/>
                <w:bCs w:val="0"/>
                <w:color w:val="000000"/>
                <w:sz w:val="18"/>
                <w:szCs w:val="18"/>
                <w:lang w:val="en-GB"/>
              </w:rPr>
              <w:t>28</w:t>
            </w:r>
          </w:p>
        </w:tc>
        <w:tc>
          <w:tcPr>
            <w:tcW w:w="1022" w:type="pct"/>
            <w:noWrap/>
            <w:hideMark/>
          </w:tcPr>
          <w:p w14:paraId="59EF7F33" w14:textId="2A255795"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369</w:t>
            </w:r>
            <w:r w:rsidR="00B708FD" w:rsidRPr="008E781C">
              <w:rPr>
                <w:rFonts w:cs="Calibri"/>
                <w:bCs w:val="0"/>
                <w:color w:val="000000"/>
                <w:sz w:val="18"/>
                <w:szCs w:val="18"/>
                <w:lang w:val="en-GB"/>
              </w:rPr>
              <w:t>,</w:t>
            </w:r>
            <w:r w:rsidRPr="008E781C">
              <w:rPr>
                <w:rFonts w:cs="Calibri"/>
                <w:bCs w:val="0"/>
                <w:color w:val="000000"/>
                <w:sz w:val="18"/>
                <w:szCs w:val="18"/>
                <w:lang w:val="en-GB"/>
              </w:rPr>
              <w:t>766</w:t>
            </w:r>
            <w:r w:rsidR="00B708FD" w:rsidRPr="008E781C">
              <w:rPr>
                <w:rFonts w:cs="Calibri"/>
                <w:bCs w:val="0"/>
                <w:color w:val="000000"/>
                <w:sz w:val="18"/>
                <w:szCs w:val="18"/>
                <w:lang w:val="en-GB"/>
              </w:rPr>
              <w:t>,</w:t>
            </w:r>
            <w:r w:rsidRPr="008E781C">
              <w:rPr>
                <w:rFonts w:cs="Calibri"/>
                <w:bCs w:val="0"/>
                <w:color w:val="000000"/>
                <w:sz w:val="18"/>
                <w:szCs w:val="18"/>
                <w:lang w:val="en-GB"/>
              </w:rPr>
              <w:t>625</w:t>
            </w:r>
          </w:p>
        </w:tc>
        <w:tc>
          <w:tcPr>
            <w:tcW w:w="992" w:type="pct"/>
            <w:noWrap/>
            <w:hideMark/>
          </w:tcPr>
          <w:p w14:paraId="53EFB5E5" w14:textId="759DAE71"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82</w:t>
            </w:r>
            <w:r w:rsidR="00B708FD" w:rsidRPr="008E781C">
              <w:rPr>
                <w:rFonts w:cs="Calibri"/>
                <w:bCs w:val="0"/>
                <w:color w:val="000000"/>
                <w:sz w:val="18"/>
                <w:szCs w:val="18"/>
                <w:lang w:val="en-GB"/>
              </w:rPr>
              <w:t>.</w:t>
            </w:r>
            <w:r w:rsidRPr="008E781C">
              <w:rPr>
                <w:rFonts w:cs="Calibri"/>
                <w:bCs w:val="0"/>
                <w:color w:val="000000"/>
                <w:sz w:val="18"/>
                <w:szCs w:val="18"/>
                <w:lang w:val="en-GB"/>
              </w:rPr>
              <w:t>75</w:t>
            </w:r>
          </w:p>
        </w:tc>
      </w:tr>
      <w:tr w:rsidR="009F7E20" w:rsidRPr="008E781C" w14:paraId="432B810C" w14:textId="77777777" w:rsidTr="008C791E">
        <w:trPr>
          <w:trHeight w:val="300"/>
          <w:jc w:val="center"/>
        </w:trPr>
        <w:tc>
          <w:tcPr>
            <w:tcW w:w="782" w:type="pct"/>
            <w:shd w:val="clear" w:color="auto" w:fill="DBE5F1" w:themeFill="accent1" w:themeFillTint="33"/>
            <w:noWrap/>
            <w:hideMark/>
          </w:tcPr>
          <w:p w14:paraId="699BFBB8"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Business project</w:t>
            </w:r>
          </w:p>
        </w:tc>
        <w:tc>
          <w:tcPr>
            <w:tcW w:w="1101" w:type="pct"/>
            <w:noWrap/>
            <w:hideMark/>
          </w:tcPr>
          <w:p w14:paraId="2014A9FF" w14:textId="77777777"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12</w:t>
            </w:r>
          </w:p>
        </w:tc>
        <w:tc>
          <w:tcPr>
            <w:tcW w:w="1103" w:type="pct"/>
            <w:noWrap/>
            <w:hideMark/>
          </w:tcPr>
          <w:p w14:paraId="53CA618B" w14:textId="3D3A118C"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2</w:t>
            </w:r>
            <w:r w:rsidR="00B708FD" w:rsidRPr="008E781C">
              <w:rPr>
                <w:rFonts w:cs="Calibri"/>
                <w:bCs w:val="0"/>
                <w:color w:val="000000"/>
                <w:sz w:val="18"/>
                <w:szCs w:val="18"/>
                <w:lang w:val="en-GB"/>
              </w:rPr>
              <w:t>.</w:t>
            </w:r>
            <w:r w:rsidRPr="008E781C">
              <w:rPr>
                <w:rFonts w:cs="Calibri"/>
                <w:bCs w:val="0"/>
                <w:color w:val="000000"/>
                <w:sz w:val="18"/>
                <w:szCs w:val="18"/>
                <w:lang w:val="en-GB"/>
              </w:rPr>
              <w:t>26</w:t>
            </w:r>
          </w:p>
        </w:tc>
        <w:tc>
          <w:tcPr>
            <w:tcW w:w="1022" w:type="pct"/>
            <w:noWrap/>
            <w:hideMark/>
          </w:tcPr>
          <w:p w14:paraId="160CFD65" w14:textId="1C2500AB"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39</w:t>
            </w:r>
            <w:r w:rsidR="00B708FD" w:rsidRPr="008E781C">
              <w:rPr>
                <w:rFonts w:cs="Calibri"/>
                <w:bCs w:val="0"/>
                <w:color w:val="000000"/>
                <w:sz w:val="18"/>
                <w:szCs w:val="18"/>
                <w:lang w:val="en-GB"/>
              </w:rPr>
              <w:t>,</w:t>
            </w:r>
            <w:r w:rsidRPr="008E781C">
              <w:rPr>
                <w:rFonts w:cs="Calibri"/>
                <w:bCs w:val="0"/>
                <w:color w:val="000000"/>
                <w:sz w:val="18"/>
                <w:szCs w:val="18"/>
                <w:lang w:val="en-GB"/>
              </w:rPr>
              <w:t>533</w:t>
            </w:r>
            <w:r w:rsidR="00B708FD" w:rsidRPr="008E781C">
              <w:rPr>
                <w:rFonts w:cs="Calibri"/>
                <w:bCs w:val="0"/>
                <w:color w:val="000000"/>
                <w:sz w:val="18"/>
                <w:szCs w:val="18"/>
                <w:lang w:val="en-GB"/>
              </w:rPr>
              <w:t>,</w:t>
            </w:r>
            <w:r w:rsidRPr="008E781C">
              <w:rPr>
                <w:rFonts w:cs="Calibri"/>
                <w:bCs w:val="0"/>
                <w:color w:val="000000"/>
                <w:sz w:val="18"/>
                <w:szCs w:val="18"/>
                <w:lang w:val="en-GB"/>
              </w:rPr>
              <w:t>600</w:t>
            </w:r>
          </w:p>
        </w:tc>
        <w:tc>
          <w:tcPr>
            <w:tcW w:w="992" w:type="pct"/>
            <w:noWrap/>
            <w:hideMark/>
          </w:tcPr>
          <w:p w14:paraId="0B61D4C0" w14:textId="529758B1" w:rsidR="00A612C7" w:rsidRPr="008E781C" w:rsidRDefault="00A612C7" w:rsidP="00A612C7">
            <w:pPr>
              <w:pStyle w:val="MBT"/>
              <w:rPr>
                <w:rFonts w:cs="Calibri"/>
                <w:bCs w:val="0"/>
                <w:color w:val="000000"/>
                <w:sz w:val="18"/>
                <w:szCs w:val="18"/>
                <w:lang w:val="en-GB"/>
              </w:rPr>
            </w:pPr>
            <w:r w:rsidRPr="008E781C">
              <w:rPr>
                <w:rFonts w:cs="Calibri"/>
                <w:bCs w:val="0"/>
                <w:color w:val="000000"/>
                <w:sz w:val="18"/>
                <w:szCs w:val="18"/>
                <w:lang w:val="en-GB"/>
              </w:rPr>
              <w:t>8</w:t>
            </w:r>
            <w:r w:rsidR="00B708FD" w:rsidRPr="008E781C">
              <w:rPr>
                <w:rFonts w:cs="Calibri"/>
                <w:bCs w:val="0"/>
                <w:color w:val="000000"/>
                <w:sz w:val="18"/>
                <w:szCs w:val="18"/>
                <w:lang w:val="en-GB"/>
              </w:rPr>
              <w:t>.</w:t>
            </w:r>
            <w:r w:rsidRPr="008E781C">
              <w:rPr>
                <w:rFonts w:cs="Calibri"/>
                <w:bCs w:val="0"/>
                <w:color w:val="000000"/>
                <w:sz w:val="18"/>
                <w:szCs w:val="18"/>
                <w:lang w:val="en-GB"/>
              </w:rPr>
              <w:t>85</w:t>
            </w:r>
          </w:p>
        </w:tc>
      </w:tr>
      <w:tr w:rsidR="009F7E20" w:rsidRPr="008E781C" w14:paraId="5D15AADC" w14:textId="77777777" w:rsidTr="008C791E">
        <w:trPr>
          <w:trHeight w:val="300"/>
          <w:jc w:val="center"/>
        </w:trPr>
        <w:tc>
          <w:tcPr>
            <w:tcW w:w="782" w:type="pct"/>
            <w:shd w:val="clear" w:color="auto" w:fill="B8CCE4" w:themeFill="accent1" w:themeFillTint="66"/>
            <w:noWrap/>
            <w:hideMark/>
          </w:tcPr>
          <w:p w14:paraId="77028525" w14:textId="77777777" w:rsidR="00A612C7" w:rsidRPr="008E781C" w:rsidRDefault="00A612C7" w:rsidP="00A612C7">
            <w:pPr>
              <w:pStyle w:val="MBT"/>
              <w:rPr>
                <w:rFonts w:cs="Calibri"/>
                <w:b/>
                <w:bCs w:val="0"/>
                <w:color w:val="000000"/>
                <w:sz w:val="18"/>
                <w:szCs w:val="18"/>
                <w:lang w:val="en-GB"/>
              </w:rPr>
            </w:pPr>
            <w:r w:rsidRPr="008E781C">
              <w:rPr>
                <w:rFonts w:cs="Calibri"/>
                <w:b/>
                <w:bCs w:val="0"/>
                <w:color w:val="000000"/>
                <w:sz w:val="18"/>
                <w:szCs w:val="18"/>
                <w:lang w:val="en-GB"/>
              </w:rPr>
              <w:t>Total</w:t>
            </w:r>
          </w:p>
        </w:tc>
        <w:tc>
          <w:tcPr>
            <w:tcW w:w="1101" w:type="pct"/>
            <w:shd w:val="clear" w:color="auto" w:fill="B8CCE4" w:themeFill="accent1" w:themeFillTint="66"/>
            <w:noWrap/>
            <w:hideMark/>
          </w:tcPr>
          <w:p w14:paraId="36BAC9D6" w14:textId="77777777" w:rsidR="00A612C7" w:rsidRPr="008E781C" w:rsidRDefault="00A612C7" w:rsidP="00A612C7">
            <w:pPr>
              <w:pStyle w:val="MBT"/>
              <w:rPr>
                <w:rFonts w:cs="Calibri"/>
                <w:b/>
                <w:bCs w:val="0"/>
                <w:color w:val="000000"/>
                <w:sz w:val="18"/>
                <w:szCs w:val="18"/>
                <w:lang w:val="en-GB"/>
              </w:rPr>
            </w:pPr>
            <w:r w:rsidRPr="008E781C">
              <w:rPr>
                <w:rFonts w:cs="Calibri"/>
                <w:b/>
                <w:bCs w:val="0"/>
                <w:color w:val="000000"/>
                <w:sz w:val="18"/>
                <w:szCs w:val="18"/>
                <w:lang w:val="en-GB"/>
              </w:rPr>
              <w:t>531</w:t>
            </w:r>
          </w:p>
        </w:tc>
        <w:tc>
          <w:tcPr>
            <w:tcW w:w="1103" w:type="pct"/>
            <w:shd w:val="clear" w:color="auto" w:fill="B8CCE4" w:themeFill="accent1" w:themeFillTint="66"/>
            <w:noWrap/>
            <w:hideMark/>
          </w:tcPr>
          <w:p w14:paraId="36DDF813" w14:textId="77777777" w:rsidR="00A612C7" w:rsidRPr="008E781C" w:rsidRDefault="00A612C7" w:rsidP="00A612C7">
            <w:pPr>
              <w:pStyle w:val="MBT"/>
              <w:rPr>
                <w:rFonts w:cs="Calibri"/>
                <w:b/>
                <w:bCs w:val="0"/>
                <w:color w:val="000000"/>
                <w:sz w:val="18"/>
                <w:szCs w:val="18"/>
                <w:lang w:val="en-GB"/>
              </w:rPr>
            </w:pPr>
            <w:r w:rsidRPr="008E781C">
              <w:rPr>
                <w:rFonts w:cs="Calibri"/>
                <w:b/>
                <w:bCs w:val="0"/>
                <w:color w:val="000000"/>
                <w:sz w:val="18"/>
                <w:szCs w:val="18"/>
                <w:lang w:val="en-GB"/>
              </w:rPr>
              <w:t>100</w:t>
            </w:r>
          </w:p>
        </w:tc>
        <w:tc>
          <w:tcPr>
            <w:tcW w:w="1022" w:type="pct"/>
            <w:shd w:val="clear" w:color="auto" w:fill="B8CCE4" w:themeFill="accent1" w:themeFillTint="66"/>
            <w:noWrap/>
            <w:hideMark/>
          </w:tcPr>
          <w:p w14:paraId="7C82C8DD" w14:textId="0E384592" w:rsidR="00A612C7" w:rsidRPr="008E781C" w:rsidRDefault="00A612C7" w:rsidP="00A612C7">
            <w:pPr>
              <w:pStyle w:val="MBT"/>
              <w:rPr>
                <w:rFonts w:cs="Calibri"/>
                <w:b/>
                <w:bCs w:val="0"/>
                <w:color w:val="000000"/>
                <w:sz w:val="18"/>
                <w:szCs w:val="18"/>
                <w:lang w:val="en-GB"/>
              </w:rPr>
            </w:pPr>
            <w:r w:rsidRPr="008E781C">
              <w:rPr>
                <w:rFonts w:cs="Calibri"/>
                <w:b/>
                <w:bCs w:val="0"/>
                <w:color w:val="000000"/>
                <w:sz w:val="18"/>
                <w:szCs w:val="18"/>
                <w:lang w:val="en-GB"/>
              </w:rPr>
              <w:t>446</w:t>
            </w:r>
            <w:r w:rsidR="00B708FD" w:rsidRPr="008E781C">
              <w:rPr>
                <w:rFonts w:cs="Calibri"/>
                <w:b/>
                <w:bCs w:val="0"/>
                <w:color w:val="000000"/>
                <w:sz w:val="18"/>
                <w:szCs w:val="18"/>
                <w:lang w:val="en-GB"/>
              </w:rPr>
              <w:t>,</w:t>
            </w:r>
            <w:r w:rsidRPr="008E781C">
              <w:rPr>
                <w:rFonts w:cs="Calibri"/>
                <w:b/>
                <w:bCs w:val="0"/>
                <w:color w:val="000000"/>
                <w:sz w:val="18"/>
                <w:szCs w:val="18"/>
                <w:lang w:val="en-GB"/>
              </w:rPr>
              <w:t>843</w:t>
            </w:r>
            <w:r w:rsidR="00B708FD" w:rsidRPr="008E781C">
              <w:rPr>
                <w:rFonts w:cs="Calibri"/>
                <w:b/>
                <w:bCs w:val="0"/>
                <w:color w:val="000000"/>
                <w:sz w:val="18"/>
                <w:szCs w:val="18"/>
                <w:lang w:val="en-GB"/>
              </w:rPr>
              <w:t>,</w:t>
            </w:r>
            <w:r w:rsidRPr="008E781C">
              <w:rPr>
                <w:rFonts w:cs="Calibri"/>
                <w:b/>
                <w:bCs w:val="0"/>
                <w:color w:val="000000"/>
                <w:sz w:val="18"/>
                <w:szCs w:val="18"/>
                <w:lang w:val="en-GB"/>
              </w:rPr>
              <w:t>921</w:t>
            </w:r>
          </w:p>
        </w:tc>
        <w:tc>
          <w:tcPr>
            <w:tcW w:w="992" w:type="pct"/>
            <w:shd w:val="clear" w:color="auto" w:fill="B8CCE4" w:themeFill="accent1" w:themeFillTint="66"/>
            <w:noWrap/>
            <w:hideMark/>
          </w:tcPr>
          <w:p w14:paraId="4060CFEE" w14:textId="77777777" w:rsidR="00A612C7" w:rsidRPr="008E781C" w:rsidRDefault="00A612C7" w:rsidP="00A612C7">
            <w:pPr>
              <w:pStyle w:val="MBT"/>
              <w:rPr>
                <w:rFonts w:cs="Calibri"/>
                <w:b/>
                <w:bCs w:val="0"/>
                <w:color w:val="000000"/>
                <w:sz w:val="18"/>
                <w:szCs w:val="18"/>
                <w:lang w:val="en-GB"/>
              </w:rPr>
            </w:pPr>
            <w:r w:rsidRPr="008E781C">
              <w:rPr>
                <w:rFonts w:cs="Calibri"/>
                <w:b/>
                <w:bCs w:val="0"/>
                <w:color w:val="000000"/>
                <w:sz w:val="18"/>
                <w:szCs w:val="18"/>
                <w:lang w:val="en-GB"/>
              </w:rPr>
              <w:t>100</w:t>
            </w:r>
          </w:p>
        </w:tc>
      </w:tr>
    </w:tbl>
    <w:p w14:paraId="6F395F32" w14:textId="03C8BDF5" w:rsidR="00A612C7" w:rsidRPr="008E781C" w:rsidRDefault="00A612C7" w:rsidP="00A612C7">
      <w:pPr>
        <w:pStyle w:val="MBT"/>
        <w:rPr>
          <w:color w:val="000000" w:themeColor="text1"/>
          <w:lang w:val="en-GB"/>
        </w:rPr>
      </w:pPr>
    </w:p>
    <w:p w14:paraId="472C11E8" w14:textId="6B826DEC" w:rsidR="00701000" w:rsidRPr="008E781C" w:rsidRDefault="00A568F6" w:rsidP="00A612C7">
      <w:pPr>
        <w:pStyle w:val="MBT"/>
        <w:rPr>
          <w:color w:val="000000" w:themeColor="text1"/>
          <w:lang w:val="en-GB"/>
        </w:rPr>
      </w:pPr>
      <w:r w:rsidRPr="008E781C">
        <w:rPr>
          <w:color w:val="000000" w:themeColor="text1"/>
          <w:lang w:val="en-GB"/>
        </w:rPr>
        <w:t xml:space="preserve">The </w:t>
      </w:r>
      <w:r w:rsidR="00B708FD" w:rsidRPr="008E781C">
        <w:rPr>
          <w:color w:val="000000" w:themeColor="text1"/>
          <w:lang w:val="en-GB"/>
        </w:rPr>
        <w:t xml:space="preserve">2015 Report also </w:t>
      </w:r>
      <w:r w:rsidRPr="008E781C">
        <w:rPr>
          <w:color w:val="000000" w:themeColor="text1"/>
          <w:lang w:val="en-GB"/>
        </w:rPr>
        <w:t xml:space="preserve">provides information on the country of origin of the </w:t>
      </w:r>
      <w:r w:rsidR="00A264A3" w:rsidRPr="008E781C">
        <w:rPr>
          <w:color w:val="000000" w:themeColor="text1"/>
          <w:lang w:val="en-GB"/>
        </w:rPr>
        <w:t xml:space="preserve">investors </w:t>
      </w:r>
      <w:r w:rsidR="00B708FD" w:rsidRPr="008E781C">
        <w:rPr>
          <w:color w:val="000000" w:themeColor="text1"/>
          <w:lang w:val="en-GB"/>
        </w:rPr>
        <w:t>per type of investment in the reference period (30 September 2013 - 31 December 2014)</w:t>
      </w:r>
      <w:r w:rsidRPr="008E781C">
        <w:rPr>
          <w:color w:val="000000" w:themeColor="text1"/>
          <w:lang w:val="en-GB"/>
        </w:rPr>
        <w:t xml:space="preserve">. </w:t>
      </w:r>
    </w:p>
    <w:p w14:paraId="14DE8314" w14:textId="64154C82" w:rsidR="00A568F6" w:rsidRPr="008E781C" w:rsidRDefault="00A568F6" w:rsidP="00A612C7">
      <w:pPr>
        <w:pStyle w:val="MBT"/>
        <w:rPr>
          <w:color w:val="000000" w:themeColor="text1"/>
          <w:lang w:val="en-GB"/>
        </w:rPr>
      </w:pPr>
    </w:p>
    <w:p w14:paraId="2024F497" w14:textId="4ADB52B3" w:rsidR="00A568F6" w:rsidRPr="008E781C" w:rsidRDefault="00A568F6" w:rsidP="005370CE">
      <w:pPr>
        <w:pStyle w:val="MBT"/>
        <w:numPr>
          <w:ilvl w:val="0"/>
          <w:numId w:val="51"/>
        </w:numPr>
        <w:rPr>
          <w:color w:val="000000" w:themeColor="text1"/>
          <w:lang w:val="en-GB"/>
        </w:rPr>
      </w:pPr>
      <w:r w:rsidRPr="008E781C">
        <w:rPr>
          <w:b/>
          <w:color w:val="000000" w:themeColor="text1"/>
          <w:lang w:val="en-GB"/>
        </w:rPr>
        <w:t>Real estate</w:t>
      </w:r>
      <w:r w:rsidRPr="008E781C">
        <w:rPr>
          <w:color w:val="000000" w:themeColor="text1"/>
          <w:lang w:val="en-GB"/>
        </w:rPr>
        <w:t xml:space="preserve"> investments </w:t>
      </w:r>
    </w:p>
    <w:p w14:paraId="6420F808" w14:textId="4D860DEA" w:rsidR="003B25FE" w:rsidRPr="008E781C" w:rsidRDefault="003B25FE" w:rsidP="002636C6">
      <w:pPr>
        <w:pStyle w:val="MBT"/>
        <w:rPr>
          <w:color w:val="000000" w:themeColor="text1"/>
          <w:lang w:val="en-GB"/>
        </w:rPr>
      </w:pPr>
    </w:p>
    <w:p w14:paraId="64404CA9" w14:textId="39B0A592" w:rsidR="00A96F52" w:rsidRPr="008E781C" w:rsidRDefault="00A96F52" w:rsidP="008C791E">
      <w:pPr>
        <w:pStyle w:val="Caption"/>
        <w:keepNext/>
      </w:pPr>
      <w:r w:rsidRPr="008E781C">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4</w:t>
      </w:r>
      <w:r w:rsidR="00697A0F" w:rsidRPr="008E781C">
        <w:rPr>
          <w:noProof/>
        </w:rPr>
        <w:fldChar w:fldCharType="end"/>
      </w:r>
      <w:r w:rsidRPr="008E781C">
        <w:t xml:space="preserve"> Number and value of real estate investment</w:t>
      </w:r>
      <w:r w:rsidRPr="008E781C">
        <w:rPr>
          <w:noProof/>
        </w:rPr>
        <w:t>s per country of orgin</w:t>
      </w:r>
    </w:p>
    <w:tbl>
      <w:tblPr>
        <w:tblStyle w:val="MTableStyle"/>
        <w:tblW w:w="9072" w:type="dxa"/>
        <w:jc w:val="center"/>
        <w:tblLook w:val="04A0" w:firstRow="1" w:lastRow="0" w:firstColumn="1" w:lastColumn="0" w:noHBand="0" w:noVBand="1"/>
      </w:tblPr>
      <w:tblGrid>
        <w:gridCol w:w="2117"/>
        <w:gridCol w:w="1556"/>
        <w:gridCol w:w="1987"/>
        <w:gridCol w:w="1560"/>
        <w:gridCol w:w="1852"/>
      </w:tblGrid>
      <w:tr w:rsidR="00A568F6" w:rsidRPr="008E781C" w14:paraId="6425FCF2" w14:textId="77777777" w:rsidTr="008C791E">
        <w:trPr>
          <w:cnfStyle w:val="100000000000" w:firstRow="1" w:lastRow="0" w:firstColumn="0" w:lastColumn="0" w:oddVBand="0" w:evenVBand="0" w:oddHBand="0" w:evenHBand="0" w:firstRowFirstColumn="0" w:firstRowLastColumn="0" w:lastRowFirstColumn="0" w:lastRowLastColumn="0"/>
          <w:trHeight w:val="300"/>
          <w:jc w:val="center"/>
        </w:trPr>
        <w:tc>
          <w:tcPr>
            <w:tcW w:w="2117" w:type="dxa"/>
            <w:shd w:val="clear" w:color="auto" w:fill="4F81BD" w:themeFill="accent1"/>
            <w:noWrap/>
            <w:hideMark/>
          </w:tcPr>
          <w:p w14:paraId="3AD26F96" w14:textId="77777777" w:rsidR="00A568F6" w:rsidRPr="008E781C" w:rsidRDefault="00A568F6">
            <w:pPr>
              <w:rPr>
                <w:rFonts w:ascii="Century Gothic" w:hAnsi="Century Gothic" w:cs="Calibri"/>
                <w:color w:val="000000"/>
                <w:sz w:val="18"/>
                <w:szCs w:val="18"/>
                <w:lang w:val="en-GB" w:eastAsia="fr-BE"/>
              </w:rPr>
            </w:pPr>
            <w:r w:rsidRPr="008E781C">
              <w:rPr>
                <w:rFonts w:ascii="Century Gothic" w:hAnsi="Century Gothic" w:cs="Calibri"/>
                <w:color w:val="000000"/>
                <w:sz w:val="18"/>
                <w:szCs w:val="18"/>
                <w:lang w:val="en-GB"/>
              </w:rPr>
              <w:t xml:space="preserve">Country </w:t>
            </w:r>
          </w:p>
        </w:tc>
        <w:tc>
          <w:tcPr>
            <w:tcW w:w="1556" w:type="dxa"/>
            <w:shd w:val="clear" w:color="auto" w:fill="4F81BD" w:themeFill="accent1"/>
            <w:noWrap/>
            <w:hideMark/>
          </w:tcPr>
          <w:p w14:paraId="360F9B1E" w14:textId="154AEFCB" w:rsidR="00A568F6" w:rsidRPr="008E781C" w:rsidRDefault="00A568F6">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No</w:t>
            </w:r>
            <w:r w:rsidR="00B708FD" w:rsidRPr="008E781C">
              <w:rPr>
                <w:rFonts w:ascii="Century Gothic" w:hAnsi="Century Gothic" w:cs="Calibri"/>
                <w:color w:val="000000"/>
                <w:sz w:val="18"/>
                <w:szCs w:val="18"/>
                <w:lang w:val="en-GB"/>
              </w:rPr>
              <w:t>. of investments</w:t>
            </w:r>
          </w:p>
        </w:tc>
        <w:tc>
          <w:tcPr>
            <w:tcW w:w="1987" w:type="dxa"/>
            <w:shd w:val="clear" w:color="auto" w:fill="4F81BD" w:themeFill="accent1"/>
            <w:noWrap/>
            <w:hideMark/>
          </w:tcPr>
          <w:p w14:paraId="0FBEAEA2" w14:textId="7B9E7271" w:rsidR="00A568F6" w:rsidRPr="008E781C" w:rsidRDefault="00A568F6">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w:t>
            </w:r>
            <w:r w:rsidR="00B708FD" w:rsidRPr="008E781C">
              <w:rPr>
                <w:rFonts w:ascii="Century Gothic" w:hAnsi="Century Gothic" w:cs="Calibri"/>
                <w:color w:val="000000"/>
                <w:sz w:val="18"/>
                <w:szCs w:val="18"/>
                <w:lang w:val="en-GB"/>
              </w:rPr>
              <w:t xml:space="preserve"> of the total real estate investments made</w:t>
            </w:r>
          </w:p>
        </w:tc>
        <w:tc>
          <w:tcPr>
            <w:tcW w:w="1560" w:type="dxa"/>
            <w:shd w:val="clear" w:color="auto" w:fill="4F81BD" w:themeFill="accent1"/>
            <w:noWrap/>
            <w:hideMark/>
          </w:tcPr>
          <w:p w14:paraId="213E4370" w14:textId="77777777" w:rsidR="00A568F6" w:rsidRPr="008E781C" w:rsidRDefault="00A568F6">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Value (€)</w:t>
            </w:r>
          </w:p>
        </w:tc>
        <w:tc>
          <w:tcPr>
            <w:tcW w:w="1852" w:type="dxa"/>
            <w:shd w:val="clear" w:color="auto" w:fill="4F81BD" w:themeFill="accent1"/>
            <w:noWrap/>
            <w:hideMark/>
          </w:tcPr>
          <w:p w14:paraId="6CADD735" w14:textId="74C2FCFA" w:rsidR="00A568F6" w:rsidRPr="008E781C" w:rsidRDefault="00A568F6">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w:t>
            </w:r>
            <w:r w:rsidR="00B708FD" w:rsidRPr="008E781C">
              <w:rPr>
                <w:rFonts w:ascii="Century Gothic" w:hAnsi="Century Gothic" w:cs="Calibri"/>
                <w:color w:val="000000"/>
                <w:sz w:val="18"/>
                <w:szCs w:val="18"/>
                <w:lang w:val="en-GB"/>
              </w:rPr>
              <w:t xml:space="preserve"> of the total value of investment</w:t>
            </w:r>
          </w:p>
        </w:tc>
      </w:tr>
      <w:tr w:rsidR="00A568F6" w:rsidRPr="008E781C" w14:paraId="7AF15996" w14:textId="77777777" w:rsidTr="008C791E">
        <w:trPr>
          <w:trHeight w:val="300"/>
          <w:jc w:val="center"/>
        </w:trPr>
        <w:tc>
          <w:tcPr>
            <w:tcW w:w="2117" w:type="dxa"/>
            <w:shd w:val="clear" w:color="auto" w:fill="DBE5F1" w:themeFill="accent1" w:themeFillTint="33"/>
            <w:noWrap/>
            <w:hideMark/>
          </w:tcPr>
          <w:p w14:paraId="2065B0F3" w14:textId="77777777" w:rsidR="00A568F6" w:rsidRPr="008E781C" w:rsidRDefault="00A568F6">
            <w:pPr>
              <w:rPr>
                <w:rFonts w:cs="Calibri"/>
                <w:color w:val="000000"/>
                <w:sz w:val="18"/>
                <w:szCs w:val="18"/>
                <w:lang w:val="en-GB"/>
              </w:rPr>
            </w:pPr>
            <w:r w:rsidRPr="008E781C">
              <w:rPr>
                <w:rFonts w:cs="Calibri"/>
                <w:color w:val="000000"/>
                <w:sz w:val="18"/>
                <w:szCs w:val="18"/>
                <w:lang w:val="en-GB"/>
              </w:rPr>
              <w:t>Russia</w:t>
            </w:r>
          </w:p>
        </w:tc>
        <w:tc>
          <w:tcPr>
            <w:tcW w:w="1556" w:type="dxa"/>
            <w:noWrap/>
            <w:hideMark/>
          </w:tcPr>
          <w:p w14:paraId="7842165E"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169</w:t>
            </w:r>
          </w:p>
        </w:tc>
        <w:tc>
          <w:tcPr>
            <w:tcW w:w="1987" w:type="dxa"/>
            <w:noWrap/>
            <w:hideMark/>
          </w:tcPr>
          <w:p w14:paraId="1A6107EA" w14:textId="5B007B49" w:rsidR="00A568F6" w:rsidRPr="008E781C" w:rsidRDefault="00A568F6">
            <w:pPr>
              <w:jc w:val="right"/>
              <w:rPr>
                <w:rFonts w:cs="Calibri"/>
                <w:color w:val="000000"/>
                <w:sz w:val="18"/>
                <w:szCs w:val="18"/>
                <w:lang w:val="en-GB"/>
              </w:rPr>
            </w:pPr>
            <w:r w:rsidRPr="008E781C">
              <w:rPr>
                <w:rFonts w:cs="Calibri"/>
                <w:color w:val="000000"/>
                <w:sz w:val="18"/>
                <w:szCs w:val="18"/>
                <w:lang w:val="en-GB"/>
              </w:rPr>
              <w:t>34</w:t>
            </w:r>
            <w:r w:rsidR="00A96F52" w:rsidRPr="008E781C">
              <w:rPr>
                <w:rFonts w:cs="Calibri"/>
                <w:color w:val="000000"/>
                <w:sz w:val="18"/>
                <w:szCs w:val="18"/>
                <w:lang w:val="en-GB"/>
              </w:rPr>
              <w:t>.</w:t>
            </w:r>
            <w:r w:rsidRPr="008E781C">
              <w:rPr>
                <w:rFonts w:cs="Calibri"/>
                <w:color w:val="000000"/>
                <w:sz w:val="18"/>
                <w:szCs w:val="18"/>
                <w:lang w:val="en-GB"/>
              </w:rPr>
              <w:t>5</w:t>
            </w:r>
          </w:p>
        </w:tc>
        <w:tc>
          <w:tcPr>
            <w:tcW w:w="1560" w:type="dxa"/>
            <w:noWrap/>
            <w:hideMark/>
          </w:tcPr>
          <w:p w14:paraId="177967EA" w14:textId="10D02EBB" w:rsidR="00A568F6" w:rsidRPr="008E781C" w:rsidRDefault="00A568F6">
            <w:pPr>
              <w:jc w:val="right"/>
              <w:rPr>
                <w:rFonts w:cs="Calibri"/>
                <w:color w:val="000000"/>
                <w:sz w:val="18"/>
                <w:szCs w:val="18"/>
                <w:lang w:val="en-GB"/>
              </w:rPr>
            </w:pPr>
            <w:r w:rsidRPr="008E781C">
              <w:rPr>
                <w:rFonts w:cs="Calibri"/>
                <w:color w:val="000000"/>
                <w:sz w:val="18"/>
                <w:szCs w:val="18"/>
                <w:lang w:val="en-GB"/>
              </w:rPr>
              <w:t>144</w:t>
            </w:r>
            <w:r w:rsidR="00A96F52" w:rsidRPr="008E781C">
              <w:rPr>
                <w:rFonts w:cs="Calibri"/>
                <w:color w:val="000000"/>
                <w:sz w:val="18"/>
                <w:szCs w:val="18"/>
                <w:lang w:val="en-GB"/>
              </w:rPr>
              <w:t>,</w:t>
            </w:r>
            <w:r w:rsidRPr="008E781C">
              <w:rPr>
                <w:rFonts w:cs="Calibri"/>
                <w:color w:val="000000"/>
                <w:sz w:val="18"/>
                <w:szCs w:val="18"/>
                <w:lang w:val="en-GB"/>
              </w:rPr>
              <w:t>215</w:t>
            </w:r>
            <w:r w:rsidR="00A96F52" w:rsidRPr="008E781C">
              <w:rPr>
                <w:rFonts w:cs="Calibri"/>
                <w:color w:val="000000"/>
                <w:sz w:val="18"/>
                <w:szCs w:val="18"/>
                <w:lang w:val="en-GB"/>
              </w:rPr>
              <w:t>,</w:t>
            </w:r>
            <w:r w:rsidRPr="008E781C">
              <w:rPr>
                <w:rFonts w:cs="Calibri"/>
                <w:color w:val="000000"/>
                <w:sz w:val="18"/>
                <w:szCs w:val="18"/>
                <w:lang w:val="en-GB"/>
              </w:rPr>
              <w:t>240</w:t>
            </w:r>
          </w:p>
        </w:tc>
        <w:tc>
          <w:tcPr>
            <w:tcW w:w="1852" w:type="dxa"/>
            <w:noWrap/>
            <w:hideMark/>
          </w:tcPr>
          <w:p w14:paraId="27942F8F"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39</w:t>
            </w:r>
          </w:p>
        </w:tc>
      </w:tr>
      <w:tr w:rsidR="00A568F6" w:rsidRPr="008E781C" w14:paraId="4610B23D" w14:textId="77777777" w:rsidTr="008C791E">
        <w:trPr>
          <w:trHeight w:val="300"/>
          <w:jc w:val="center"/>
        </w:trPr>
        <w:tc>
          <w:tcPr>
            <w:tcW w:w="2117" w:type="dxa"/>
            <w:shd w:val="clear" w:color="auto" w:fill="DBE5F1" w:themeFill="accent1" w:themeFillTint="33"/>
            <w:noWrap/>
            <w:hideMark/>
          </w:tcPr>
          <w:p w14:paraId="1806CB20" w14:textId="77777777" w:rsidR="00A568F6" w:rsidRPr="008E781C" w:rsidRDefault="00A568F6">
            <w:pPr>
              <w:rPr>
                <w:rFonts w:cs="Calibri"/>
                <w:color w:val="000000"/>
                <w:sz w:val="18"/>
                <w:szCs w:val="18"/>
                <w:lang w:val="en-GB"/>
              </w:rPr>
            </w:pPr>
            <w:r w:rsidRPr="008E781C">
              <w:rPr>
                <w:rFonts w:cs="Calibri"/>
                <w:color w:val="000000"/>
                <w:sz w:val="18"/>
                <w:szCs w:val="18"/>
                <w:lang w:val="en-GB"/>
              </w:rPr>
              <w:t>China</w:t>
            </w:r>
          </w:p>
        </w:tc>
        <w:tc>
          <w:tcPr>
            <w:tcW w:w="1556" w:type="dxa"/>
            <w:noWrap/>
            <w:hideMark/>
          </w:tcPr>
          <w:p w14:paraId="57AB5960"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168</w:t>
            </w:r>
          </w:p>
        </w:tc>
        <w:tc>
          <w:tcPr>
            <w:tcW w:w="1987" w:type="dxa"/>
            <w:noWrap/>
            <w:hideMark/>
          </w:tcPr>
          <w:p w14:paraId="63908E0A" w14:textId="1D9D79E7" w:rsidR="00A568F6" w:rsidRPr="008E781C" w:rsidRDefault="00A568F6">
            <w:pPr>
              <w:jc w:val="right"/>
              <w:rPr>
                <w:rFonts w:cs="Calibri"/>
                <w:color w:val="000000"/>
                <w:sz w:val="18"/>
                <w:szCs w:val="18"/>
                <w:lang w:val="en-GB"/>
              </w:rPr>
            </w:pPr>
            <w:r w:rsidRPr="008E781C">
              <w:rPr>
                <w:rFonts w:cs="Calibri"/>
                <w:color w:val="000000"/>
                <w:sz w:val="18"/>
                <w:szCs w:val="18"/>
                <w:lang w:val="en-GB"/>
              </w:rPr>
              <w:t>34</w:t>
            </w:r>
            <w:r w:rsidR="00A96F52" w:rsidRPr="008E781C">
              <w:rPr>
                <w:rFonts w:cs="Calibri"/>
                <w:color w:val="000000"/>
                <w:sz w:val="18"/>
                <w:szCs w:val="18"/>
                <w:lang w:val="en-GB"/>
              </w:rPr>
              <w:t>.</w:t>
            </w:r>
            <w:r w:rsidRPr="008E781C">
              <w:rPr>
                <w:rFonts w:cs="Calibri"/>
                <w:color w:val="000000"/>
                <w:sz w:val="18"/>
                <w:szCs w:val="18"/>
                <w:lang w:val="en-GB"/>
              </w:rPr>
              <w:t>3</w:t>
            </w:r>
          </w:p>
        </w:tc>
        <w:tc>
          <w:tcPr>
            <w:tcW w:w="1560" w:type="dxa"/>
            <w:noWrap/>
            <w:hideMark/>
          </w:tcPr>
          <w:p w14:paraId="3BA6117D" w14:textId="4C8A7402" w:rsidR="00A568F6" w:rsidRPr="008E781C" w:rsidRDefault="00A568F6">
            <w:pPr>
              <w:jc w:val="right"/>
              <w:rPr>
                <w:rFonts w:cs="Calibri"/>
                <w:color w:val="000000"/>
                <w:sz w:val="18"/>
                <w:szCs w:val="18"/>
                <w:lang w:val="en-GB"/>
              </w:rPr>
            </w:pPr>
            <w:r w:rsidRPr="008E781C">
              <w:rPr>
                <w:rFonts w:cs="Calibri"/>
                <w:color w:val="000000"/>
                <w:sz w:val="18"/>
                <w:szCs w:val="18"/>
                <w:lang w:val="en-GB"/>
              </w:rPr>
              <w:t>108</w:t>
            </w:r>
            <w:r w:rsidR="00A96F52" w:rsidRPr="008E781C">
              <w:rPr>
                <w:rFonts w:cs="Calibri"/>
                <w:color w:val="000000"/>
                <w:sz w:val="18"/>
                <w:szCs w:val="18"/>
                <w:lang w:val="en-GB"/>
              </w:rPr>
              <w:t>,</w:t>
            </w:r>
            <w:r w:rsidRPr="008E781C">
              <w:rPr>
                <w:rFonts w:cs="Calibri"/>
                <w:color w:val="000000"/>
                <w:sz w:val="18"/>
                <w:szCs w:val="18"/>
                <w:lang w:val="en-GB"/>
              </w:rPr>
              <w:t>318</w:t>
            </w:r>
            <w:r w:rsidR="00A96F52" w:rsidRPr="008E781C">
              <w:rPr>
                <w:rFonts w:cs="Calibri"/>
                <w:color w:val="000000"/>
                <w:sz w:val="18"/>
                <w:szCs w:val="18"/>
                <w:lang w:val="en-GB"/>
              </w:rPr>
              <w:t>,</w:t>
            </w:r>
            <w:r w:rsidRPr="008E781C">
              <w:rPr>
                <w:rFonts w:cs="Calibri"/>
                <w:color w:val="000000"/>
                <w:sz w:val="18"/>
                <w:szCs w:val="18"/>
                <w:lang w:val="en-GB"/>
              </w:rPr>
              <w:t>001</w:t>
            </w:r>
          </w:p>
        </w:tc>
        <w:tc>
          <w:tcPr>
            <w:tcW w:w="1852" w:type="dxa"/>
            <w:noWrap/>
            <w:hideMark/>
          </w:tcPr>
          <w:p w14:paraId="6CF9CBEA" w14:textId="76914D09" w:rsidR="00A568F6" w:rsidRPr="008E781C" w:rsidRDefault="00A568F6">
            <w:pPr>
              <w:jc w:val="right"/>
              <w:rPr>
                <w:rFonts w:cs="Calibri"/>
                <w:color w:val="000000"/>
                <w:sz w:val="18"/>
                <w:szCs w:val="18"/>
                <w:lang w:val="en-GB"/>
              </w:rPr>
            </w:pPr>
            <w:r w:rsidRPr="008E781C">
              <w:rPr>
                <w:rFonts w:cs="Calibri"/>
                <w:color w:val="000000"/>
                <w:sz w:val="18"/>
                <w:szCs w:val="18"/>
                <w:lang w:val="en-GB"/>
              </w:rPr>
              <w:t>29</w:t>
            </w:r>
            <w:r w:rsidR="00A96F52" w:rsidRPr="008E781C">
              <w:rPr>
                <w:rFonts w:cs="Calibri"/>
                <w:color w:val="000000"/>
                <w:sz w:val="18"/>
                <w:szCs w:val="18"/>
                <w:lang w:val="en-GB"/>
              </w:rPr>
              <w:t>.</w:t>
            </w:r>
            <w:r w:rsidRPr="008E781C">
              <w:rPr>
                <w:rFonts w:cs="Calibri"/>
                <w:color w:val="000000"/>
                <w:sz w:val="18"/>
                <w:szCs w:val="18"/>
                <w:lang w:val="en-GB"/>
              </w:rPr>
              <w:t>3</w:t>
            </w:r>
          </w:p>
        </w:tc>
      </w:tr>
      <w:tr w:rsidR="00A568F6" w:rsidRPr="008E781C" w14:paraId="58AB42B7" w14:textId="77777777" w:rsidTr="008C791E">
        <w:trPr>
          <w:trHeight w:val="300"/>
          <w:jc w:val="center"/>
        </w:trPr>
        <w:tc>
          <w:tcPr>
            <w:tcW w:w="2117" w:type="dxa"/>
            <w:shd w:val="clear" w:color="auto" w:fill="DBE5F1" w:themeFill="accent1" w:themeFillTint="33"/>
            <w:noWrap/>
            <w:hideMark/>
          </w:tcPr>
          <w:p w14:paraId="0992AD19" w14:textId="77777777" w:rsidR="00A568F6" w:rsidRPr="008E781C" w:rsidRDefault="00A568F6">
            <w:pPr>
              <w:rPr>
                <w:rFonts w:cs="Calibri"/>
                <w:color w:val="000000"/>
                <w:sz w:val="18"/>
                <w:szCs w:val="18"/>
                <w:lang w:val="en-GB"/>
              </w:rPr>
            </w:pPr>
            <w:r w:rsidRPr="008E781C">
              <w:rPr>
                <w:rFonts w:cs="Calibri"/>
                <w:color w:val="000000"/>
                <w:sz w:val="18"/>
                <w:szCs w:val="18"/>
                <w:lang w:val="en-GB"/>
              </w:rPr>
              <w:t>Ukraine</w:t>
            </w:r>
          </w:p>
        </w:tc>
        <w:tc>
          <w:tcPr>
            <w:tcW w:w="1556" w:type="dxa"/>
            <w:noWrap/>
            <w:hideMark/>
          </w:tcPr>
          <w:p w14:paraId="5B0750E0"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14</w:t>
            </w:r>
          </w:p>
        </w:tc>
        <w:tc>
          <w:tcPr>
            <w:tcW w:w="1987" w:type="dxa"/>
            <w:noWrap/>
            <w:hideMark/>
          </w:tcPr>
          <w:p w14:paraId="42B69570" w14:textId="3F454A15"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9</w:t>
            </w:r>
          </w:p>
        </w:tc>
        <w:tc>
          <w:tcPr>
            <w:tcW w:w="1560" w:type="dxa"/>
            <w:noWrap/>
            <w:hideMark/>
          </w:tcPr>
          <w:p w14:paraId="718FD163" w14:textId="57A12EFE" w:rsidR="00A568F6" w:rsidRPr="008E781C" w:rsidRDefault="00A568F6">
            <w:pPr>
              <w:jc w:val="right"/>
              <w:rPr>
                <w:rFonts w:cs="Calibri"/>
                <w:color w:val="000000"/>
                <w:sz w:val="18"/>
                <w:szCs w:val="18"/>
                <w:lang w:val="en-GB"/>
              </w:rPr>
            </w:pPr>
            <w:r w:rsidRPr="008E781C">
              <w:rPr>
                <w:rFonts w:cs="Calibri"/>
                <w:color w:val="000000"/>
                <w:sz w:val="18"/>
                <w:szCs w:val="18"/>
                <w:lang w:val="en-GB"/>
              </w:rPr>
              <w:t>10</w:t>
            </w:r>
            <w:r w:rsidR="00A96F52" w:rsidRPr="008E781C">
              <w:rPr>
                <w:rFonts w:cs="Calibri"/>
                <w:color w:val="000000"/>
                <w:sz w:val="18"/>
                <w:szCs w:val="18"/>
                <w:lang w:val="en-GB"/>
              </w:rPr>
              <w:t>,</w:t>
            </w:r>
            <w:r w:rsidRPr="008E781C">
              <w:rPr>
                <w:rFonts w:cs="Calibri"/>
                <w:color w:val="000000"/>
                <w:sz w:val="18"/>
                <w:szCs w:val="18"/>
                <w:lang w:val="en-GB"/>
              </w:rPr>
              <w:t>827</w:t>
            </w:r>
            <w:r w:rsidR="00A96F52" w:rsidRPr="008E781C">
              <w:rPr>
                <w:rFonts w:cs="Calibri"/>
                <w:color w:val="000000"/>
                <w:sz w:val="18"/>
                <w:szCs w:val="18"/>
                <w:lang w:val="en-GB"/>
              </w:rPr>
              <w:t>,</w:t>
            </w:r>
            <w:r w:rsidRPr="008E781C">
              <w:rPr>
                <w:rFonts w:cs="Calibri"/>
                <w:color w:val="000000"/>
                <w:sz w:val="18"/>
                <w:szCs w:val="18"/>
                <w:lang w:val="en-GB"/>
              </w:rPr>
              <w:t>160</w:t>
            </w:r>
          </w:p>
        </w:tc>
        <w:tc>
          <w:tcPr>
            <w:tcW w:w="1852" w:type="dxa"/>
            <w:noWrap/>
            <w:hideMark/>
          </w:tcPr>
          <w:p w14:paraId="3560ABCA" w14:textId="5D94B325"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9</w:t>
            </w:r>
          </w:p>
        </w:tc>
      </w:tr>
      <w:tr w:rsidR="00A568F6" w:rsidRPr="008E781C" w14:paraId="0F947515" w14:textId="77777777" w:rsidTr="008C791E">
        <w:trPr>
          <w:trHeight w:val="300"/>
          <w:jc w:val="center"/>
        </w:trPr>
        <w:tc>
          <w:tcPr>
            <w:tcW w:w="2117" w:type="dxa"/>
            <w:shd w:val="clear" w:color="auto" w:fill="DBE5F1" w:themeFill="accent1" w:themeFillTint="33"/>
            <w:noWrap/>
            <w:hideMark/>
          </w:tcPr>
          <w:p w14:paraId="3D2B5A9F" w14:textId="77777777" w:rsidR="00A568F6" w:rsidRPr="008E781C" w:rsidRDefault="00A568F6">
            <w:pPr>
              <w:rPr>
                <w:rFonts w:cs="Calibri"/>
                <w:color w:val="000000"/>
                <w:sz w:val="18"/>
                <w:szCs w:val="18"/>
                <w:lang w:val="en-GB"/>
              </w:rPr>
            </w:pPr>
            <w:r w:rsidRPr="008E781C">
              <w:rPr>
                <w:rFonts w:cs="Calibri"/>
                <w:color w:val="000000"/>
                <w:sz w:val="18"/>
                <w:szCs w:val="18"/>
                <w:lang w:val="en-GB"/>
              </w:rPr>
              <w:t>Egypt</w:t>
            </w:r>
          </w:p>
        </w:tc>
        <w:tc>
          <w:tcPr>
            <w:tcW w:w="1556" w:type="dxa"/>
            <w:noWrap/>
            <w:hideMark/>
          </w:tcPr>
          <w:p w14:paraId="43404E11"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13</w:t>
            </w:r>
          </w:p>
        </w:tc>
        <w:tc>
          <w:tcPr>
            <w:tcW w:w="1987" w:type="dxa"/>
            <w:noWrap/>
            <w:hideMark/>
          </w:tcPr>
          <w:p w14:paraId="14FFC6E2" w14:textId="2CA9695C"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c>
          <w:tcPr>
            <w:tcW w:w="1560" w:type="dxa"/>
            <w:noWrap/>
            <w:hideMark/>
          </w:tcPr>
          <w:p w14:paraId="337D8460" w14:textId="60C997AB" w:rsidR="00A568F6" w:rsidRPr="008E781C" w:rsidRDefault="00A568F6">
            <w:pPr>
              <w:jc w:val="right"/>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781</w:t>
            </w:r>
            <w:r w:rsidR="00A96F52" w:rsidRPr="008E781C">
              <w:rPr>
                <w:rFonts w:cs="Calibri"/>
                <w:color w:val="000000"/>
                <w:sz w:val="18"/>
                <w:szCs w:val="18"/>
                <w:lang w:val="en-GB"/>
              </w:rPr>
              <w:t>,</w:t>
            </w:r>
            <w:r w:rsidRPr="008E781C">
              <w:rPr>
                <w:rFonts w:cs="Calibri"/>
                <w:color w:val="000000"/>
                <w:sz w:val="18"/>
                <w:szCs w:val="18"/>
                <w:lang w:val="en-GB"/>
              </w:rPr>
              <w:t>043</w:t>
            </w:r>
          </w:p>
        </w:tc>
        <w:tc>
          <w:tcPr>
            <w:tcW w:w="1852" w:type="dxa"/>
            <w:noWrap/>
            <w:hideMark/>
          </w:tcPr>
          <w:p w14:paraId="714C1A28" w14:textId="30CC6140"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4</w:t>
            </w:r>
          </w:p>
        </w:tc>
      </w:tr>
      <w:tr w:rsidR="00A568F6" w:rsidRPr="008E781C" w14:paraId="47F7005C" w14:textId="77777777" w:rsidTr="008C791E">
        <w:trPr>
          <w:trHeight w:val="300"/>
          <w:jc w:val="center"/>
        </w:trPr>
        <w:tc>
          <w:tcPr>
            <w:tcW w:w="2117" w:type="dxa"/>
            <w:shd w:val="clear" w:color="auto" w:fill="DBE5F1" w:themeFill="accent1" w:themeFillTint="33"/>
            <w:noWrap/>
            <w:hideMark/>
          </w:tcPr>
          <w:p w14:paraId="4D5C668B" w14:textId="77777777" w:rsidR="00A568F6" w:rsidRPr="008E781C" w:rsidRDefault="00A568F6">
            <w:pPr>
              <w:rPr>
                <w:rFonts w:cs="Calibri"/>
                <w:color w:val="000000"/>
                <w:sz w:val="18"/>
                <w:szCs w:val="18"/>
                <w:lang w:val="en-GB"/>
              </w:rPr>
            </w:pPr>
            <w:r w:rsidRPr="008E781C">
              <w:rPr>
                <w:rFonts w:cs="Calibri"/>
                <w:color w:val="000000"/>
                <w:sz w:val="18"/>
                <w:szCs w:val="18"/>
                <w:lang w:val="en-GB"/>
              </w:rPr>
              <w:t>Lebanon</w:t>
            </w:r>
          </w:p>
        </w:tc>
        <w:tc>
          <w:tcPr>
            <w:tcW w:w="1556" w:type="dxa"/>
            <w:noWrap/>
            <w:hideMark/>
          </w:tcPr>
          <w:p w14:paraId="6CD6BA03"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11</w:t>
            </w:r>
          </w:p>
        </w:tc>
        <w:tc>
          <w:tcPr>
            <w:tcW w:w="1987" w:type="dxa"/>
            <w:noWrap/>
            <w:hideMark/>
          </w:tcPr>
          <w:p w14:paraId="04AAE4ED" w14:textId="2BBB9DD5"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2</w:t>
            </w:r>
          </w:p>
        </w:tc>
        <w:tc>
          <w:tcPr>
            <w:tcW w:w="1560" w:type="dxa"/>
            <w:noWrap/>
            <w:hideMark/>
          </w:tcPr>
          <w:p w14:paraId="2B1D17DD" w14:textId="183075A9" w:rsidR="00A568F6" w:rsidRPr="008E781C" w:rsidRDefault="00A568F6">
            <w:pPr>
              <w:jc w:val="right"/>
              <w:rPr>
                <w:rFonts w:cs="Calibri"/>
                <w:color w:val="000000"/>
                <w:sz w:val="18"/>
                <w:szCs w:val="18"/>
                <w:lang w:val="en-GB"/>
              </w:rPr>
            </w:pPr>
            <w:r w:rsidRPr="008E781C">
              <w:rPr>
                <w:rFonts w:cs="Calibri"/>
                <w:color w:val="000000"/>
                <w:sz w:val="18"/>
                <w:szCs w:val="18"/>
                <w:lang w:val="en-GB"/>
              </w:rPr>
              <w:t>6</w:t>
            </w:r>
            <w:r w:rsidR="00A96F52" w:rsidRPr="008E781C">
              <w:rPr>
                <w:rFonts w:cs="Calibri"/>
                <w:color w:val="000000"/>
                <w:sz w:val="18"/>
                <w:szCs w:val="18"/>
                <w:lang w:val="en-GB"/>
              </w:rPr>
              <w:t>,</w:t>
            </w:r>
            <w:r w:rsidRPr="008E781C">
              <w:rPr>
                <w:rFonts w:cs="Calibri"/>
                <w:color w:val="000000"/>
                <w:sz w:val="18"/>
                <w:szCs w:val="18"/>
                <w:lang w:val="en-GB"/>
              </w:rPr>
              <w:t>833</w:t>
            </w:r>
            <w:r w:rsidR="00A96F52" w:rsidRPr="008E781C">
              <w:rPr>
                <w:rFonts w:cs="Calibri"/>
                <w:color w:val="000000"/>
                <w:sz w:val="18"/>
                <w:szCs w:val="18"/>
                <w:lang w:val="en-GB"/>
              </w:rPr>
              <w:t>,</w:t>
            </w:r>
            <w:r w:rsidRPr="008E781C">
              <w:rPr>
                <w:rFonts w:cs="Calibri"/>
                <w:color w:val="000000"/>
                <w:sz w:val="18"/>
                <w:szCs w:val="18"/>
                <w:lang w:val="en-GB"/>
              </w:rPr>
              <w:t>000</w:t>
            </w:r>
          </w:p>
        </w:tc>
        <w:tc>
          <w:tcPr>
            <w:tcW w:w="1852" w:type="dxa"/>
            <w:noWrap/>
            <w:hideMark/>
          </w:tcPr>
          <w:p w14:paraId="162942DE" w14:textId="161E9E0D" w:rsidR="00A568F6" w:rsidRPr="008E781C" w:rsidRDefault="00A568F6">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8</w:t>
            </w:r>
          </w:p>
        </w:tc>
      </w:tr>
      <w:tr w:rsidR="00A568F6" w:rsidRPr="008E781C" w14:paraId="7BB14AB7" w14:textId="77777777" w:rsidTr="008C791E">
        <w:trPr>
          <w:trHeight w:val="300"/>
          <w:jc w:val="center"/>
        </w:trPr>
        <w:tc>
          <w:tcPr>
            <w:tcW w:w="2117" w:type="dxa"/>
            <w:shd w:val="clear" w:color="auto" w:fill="DBE5F1" w:themeFill="accent1" w:themeFillTint="33"/>
            <w:noWrap/>
            <w:hideMark/>
          </w:tcPr>
          <w:p w14:paraId="69D5AEB9" w14:textId="77777777" w:rsidR="00A568F6" w:rsidRPr="008E781C" w:rsidRDefault="00A568F6">
            <w:pPr>
              <w:rPr>
                <w:rFonts w:cs="Calibri"/>
                <w:color w:val="000000"/>
                <w:sz w:val="18"/>
                <w:szCs w:val="18"/>
                <w:lang w:val="en-GB"/>
              </w:rPr>
            </w:pPr>
            <w:r w:rsidRPr="008E781C">
              <w:rPr>
                <w:rFonts w:cs="Calibri"/>
                <w:color w:val="000000"/>
                <w:sz w:val="18"/>
                <w:szCs w:val="18"/>
                <w:lang w:val="en-GB"/>
              </w:rPr>
              <w:t>Venezuela</w:t>
            </w:r>
          </w:p>
        </w:tc>
        <w:tc>
          <w:tcPr>
            <w:tcW w:w="1556" w:type="dxa"/>
            <w:noWrap/>
            <w:hideMark/>
          </w:tcPr>
          <w:p w14:paraId="459CDF3A"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10</w:t>
            </w:r>
          </w:p>
        </w:tc>
        <w:tc>
          <w:tcPr>
            <w:tcW w:w="1987" w:type="dxa"/>
            <w:noWrap/>
            <w:hideMark/>
          </w:tcPr>
          <w:p w14:paraId="2E2C7CC1"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2</w:t>
            </w:r>
          </w:p>
        </w:tc>
        <w:tc>
          <w:tcPr>
            <w:tcW w:w="1560" w:type="dxa"/>
            <w:noWrap/>
            <w:hideMark/>
          </w:tcPr>
          <w:p w14:paraId="7BBAB2EE" w14:textId="79E84D99" w:rsidR="00A568F6" w:rsidRPr="008E781C" w:rsidRDefault="00A568F6">
            <w:pPr>
              <w:jc w:val="right"/>
              <w:rPr>
                <w:rFonts w:cs="Calibri"/>
                <w:color w:val="000000"/>
                <w:sz w:val="18"/>
                <w:szCs w:val="18"/>
                <w:lang w:val="en-GB"/>
              </w:rPr>
            </w:pPr>
            <w:r w:rsidRPr="008E781C">
              <w:rPr>
                <w:rFonts w:cs="Calibri"/>
                <w:color w:val="000000"/>
                <w:sz w:val="18"/>
                <w:szCs w:val="18"/>
                <w:lang w:val="en-GB"/>
              </w:rPr>
              <w:t>11</w:t>
            </w:r>
            <w:r w:rsidR="00A96F52" w:rsidRPr="008E781C">
              <w:rPr>
                <w:rFonts w:cs="Calibri"/>
                <w:color w:val="000000"/>
                <w:sz w:val="18"/>
                <w:szCs w:val="18"/>
                <w:lang w:val="en-GB"/>
              </w:rPr>
              <w:t>,</w:t>
            </w:r>
            <w:r w:rsidRPr="008E781C">
              <w:rPr>
                <w:rFonts w:cs="Calibri"/>
                <w:color w:val="000000"/>
                <w:sz w:val="18"/>
                <w:szCs w:val="18"/>
                <w:lang w:val="en-GB"/>
              </w:rPr>
              <w:t>572</w:t>
            </w:r>
            <w:r w:rsidR="00A96F52" w:rsidRPr="008E781C">
              <w:rPr>
                <w:rFonts w:cs="Calibri"/>
                <w:color w:val="000000"/>
                <w:sz w:val="18"/>
                <w:szCs w:val="18"/>
                <w:lang w:val="en-GB"/>
              </w:rPr>
              <w:t>,</w:t>
            </w:r>
            <w:r w:rsidRPr="008E781C">
              <w:rPr>
                <w:rFonts w:cs="Calibri"/>
                <w:color w:val="000000"/>
                <w:sz w:val="18"/>
                <w:szCs w:val="18"/>
                <w:lang w:val="en-GB"/>
              </w:rPr>
              <w:t>085</w:t>
            </w:r>
          </w:p>
        </w:tc>
        <w:tc>
          <w:tcPr>
            <w:tcW w:w="1852" w:type="dxa"/>
            <w:noWrap/>
            <w:hideMark/>
          </w:tcPr>
          <w:p w14:paraId="446F44DA" w14:textId="5FF5D6F9" w:rsidR="00A568F6" w:rsidRPr="008E781C" w:rsidRDefault="00A568F6">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1</w:t>
            </w:r>
          </w:p>
        </w:tc>
      </w:tr>
      <w:tr w:rsidR="00A568F6" w:rsidRPr="008E781C" w14:paraId="1088BD51" w14:textId="77777777" w:rsidTr="008C791E">
        <w:trPr>
          <w:trHeight w:val="300"/>
          <w:jc w:val="center"/>
        </w:trPr>
        <w:tc>
          <w:tcPr>
            <w:tcW w:w="2117" w:type="dxa"/>
            <w:shd w:val="clear" w:color="auto" w:fill="DBE5F1" w:themeFill="accent1" w:themeFillTint="33"/>
            <w:noWrap/>
            <w:hideMark/>
          </w:tcPr>
          <w:p w14:paraId="5B8C416B" w14:textId="77777777" w:rsidR="00A568F6" w:rsidRPr="008E781C" w:rsidRDefault="00A568F6">
            <w:pPr>
              <w:rPr>
                <w:rFonts w:cs="Calibri"/>
                <w:color w:val="000000"/>
                <w:sz w:val="18"/>
                <w:szCs w:val="18"/>
                <w:lang w:val="en-GB"/>
              </w:rPr>
            </w:pPr>
            <w:r w:rsidRPr="008E781C">
              <w:rPr>
                <w:rFonts w:cs="Calibri"/>
                <w:color w:val="000000"/>
                <w:sz w:val="18"/>
                <w:szCs w:val="18"/>
                <w:lang w:val="en-GB"/>
              </w:rPr>
              <w:t>US</w:t>
            </w:r>
          </w:p>
        </w:tc>
        <w:tc>
          <w:tcPr>
            <w:tcW w:w="1556" w:type="dxa"/>
            <w:noWrap/>
            <w:hideMark/>
          </w:tcPr>
          <w:p w14:paraId="2EB6984A"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9</w:t>
            </w:r>
          </w:p>
        </w:tc>
        <w:tc>
          <w:tcPr>
            <w:tcW w:w="1987" w:type="dxa"/>
            <w:noWrap/>
            <w:hideMark/>
          </w:tcPr>
          <w:p w14:paraId="2DFD105F" w14:textId="7544F9FA" w:rsidR="00A568F6" w:rsidRPr="008E781C" w:rsidRDefault="00A568F6">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8</w:t>
            </w:r>
          </w:p>
        </w:tc>
        <w:tc>
          <w:tcPr>
            <w:tcW w:w="1560" w:type="dxa"/>
            <w:noWrap/>
            <w:hideMark/>
          </w:tcPr>
          <w:p w14:paraId="6069DCE8" w14:textId="3E0CAAE4" w:rsidR="00A568F6" w:rsidRPr="008E781C" w:rsidRDefault="00A568F6">
            <w:pPr>
              <w:jc w:val="right"/>
              <w:rPr>
                <w:rFonts w:cs="Calibri"/>
                <w:color w:val="000000"/>
                <w:sz w:val="18"/>
                <w:szCs w:val="18"/>
                <w:lang w:val="en-GB"/>
              </w:rPr>
            </w:pPr>
            <w:r w:rsidRPr="008E781C">
              <w:rPr>
                <w:rFonts w:cs="Calibri"/>
                <w:color w:val="000000"/>
                <w:sz w:val="18"/>
                <w:szCs w:val="18"/>
                <w:lang w:val="en-GB"/>
              </w:rPr>
              <w:t>7</w:t>
            </w:r>
            <w:r w:rsidR="00A96F52" w:rsidRPr="008E781C">
              <w:rPr>
                <w:rFonts w:cs="Calibri"/>
                <w:color w:val="000000"/>
                <w:sz w:val="18"/>
                <w:szCs w:val="18"/>
                <w:lang w:val="en-GB"/>
              </w:rPr>
              <w:t>,</w:t>
            </w:r>
            <w:r w:rsidRPr="008E781C">
              <w:rPr>
                <w:rFonts w:cs="Calibri"/>
                <w:color w:val="000000"/>
                <w:sz w:val="18"/>
                <w:szCs w:val="18"/>
                <w:lang w:val="en-GB"/>
              </w:rPr>
              <w:t>209</w:t>
            </w:r>
            <w:r w:rsidR="00A96F52" w:rsidRPr="008E781C">
              <w:rPr>
                <w:rFonts w:cs="Calibri"/>
                <w:color w:val="000000"/>
                <w:sz w:val="18"/>
                <w:szCs w:val="18"/>
                <w:lang w:val="en-GB"/>
              </w:rPr>
              <w:t>,</w:t>
            </w:r>
            <w:r w:rsidRPr="008E781C">
              <w:rPr>
                <w:rFonts w:cs="Calibri"/>
                <w:color w:val="000000"/>
                <w:sz w:val="18"/>
                <w:szCs w:val="18"/>
                <w:lang w:val="en-GB"/>
              </w:rPr>
              <w:t>500</w:t>
            </w:r>
          </w:p>
        </w:tc>
        <w:tc>
          <w:tcPr>
            <w:tcW w:w="1852" w:type="dxa"/>
            <w:noWrap/>
            <w:hideMark/>
          </w:tcPr>
          <w:p w14:paraId="584CACA9" w14:textId="0704D4C2" w:rsidR="00A568F6" w:rsidRPr="008E781C" w:rsidRDefault="00A568F6">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9</w:t>
            </w:r>
          </w:p>
        </w:tc>
      </w:tr>
      <w:tr w:rsidR="00A568F6" w:rsidRPr="008E781C" w14:paraId="689178A6" w14:textId="77777777" w:rsidTr="008C791E">
        <w:trPr>
          <w:trHeight w:val="300"/>
          <w:jc w:val="center"/>
        </w:trPr>
        <w:tc>
          <w:tcPr>
            <w:tcW w:w="2117" w:type="dxa"/>
            <w:shd w:val="clear" w:color="auto" w:fill="B8CCE4" w:themeFill="accent1" w:themeFillTint="66"/>
            <w:noWrap/>
            <w:hideMark/>
          </w:tcPr>
          <w:p w14:paraId="68D391CF" w14:textId="291E5B67" w:rsidR="00A568F6" w:rsidRPr="008E781C" w:rsidRDefault="00A568F6">
            <w:pPr>
              <w:rPr>
                <w:rFonts w:cs="Calibri"/>
                <w:b/>
                <w:color w:val="000000"/>
                <w:sz w:val="18"/>
                <w:szCs w:val="18"/>
                <w:lang w:val="en-GB"/>
              </w:rPr>
            </w:pPr>
            <w:r w:rsidRPr="008E781C">
              <w:rPr>
                <w:rFonts w:cs="Calibri"/>
                <w:b/>
                <w:color w:val="000000"/>
                <w:sz w:val="18"/>
                <w:szCs w:val="18"/>
                <w:lang w:val="en-GB"/>
              </w:rPr>
              <w:t>Total main 7</w:t>
            </w:r>
            <w:r w:rsidR="00B708FD" w:rsidRPr="008E781C">
              <w:rPr>
                <w:rFonts w:cs="Calibri"/>
                <w:b/>
                <w:color w:val="000000"/>
                <w:sz w:val="18"/>
                <w:szCs w:val="18"/>
                <w:lang w:val="en-GB"/>
              </w:rPr>
              <w:t xml:space="preserve"> (above)</w:t>
            </w:r>
          </w:p>
        </w:tc>
        <w:tc>
          <w:tcPr>
            <w:tcW w:w="1556" w:type="dxa"/>
            <w:shd w:val="clear" w:color="auto" w:fill="B8CCE4" w:themeFill="accent1" w:themeFillTint="66"/>
            <w:noWrap/>
            <w:hideMark/>
          </w:tcPr>
          <w:p w14:paraId="178D93AF" w14:textId="77777777" w:rsidR="00A568F6" w:rsidRPr="008E781C" w:rsidRDefault="00A568F6">
            <w:pPr>
              <w:jc w:val="right"/>
              <w:rPr>
                <w:rFonts w:cs="Calibri"/>
                <w:b/>
                <w:color w:val="000000"/>
                <w:sz w:val="18"/>
                <w:szCs w:val="18"/>
                <w:lang w:val="en-GB"/>
              </w:rPr>
            </w:pPr>
            <w:r w:rsidRPr="008E781C">
              <w:rPr>
                <w:rFonts w:cs="Calibri"/>
                <w:b/>
                <w:color w:val="000000"/>
                <w:sz w:val="18"/>
                <w:szCs w:val="18"/>
                <w:lang w:val="en-GB"/>
              </w:rPr>
              <w:t>394</w:t>
            </w:r>
          </w:p>
        </w:tc>
        <w:tc>
          <w:tcPr>
            <w:tcW w:w="1987" w:type="dxa"/>
            <w:shd w:val="clear" w:color="auto" w:fill="B8CCE4" w:themeFill="accent1" w:themeFillTint="66"/>
            <w:noWrap/>
            <w:hideMark/>
          </w:tcPr>
          <w:p w14:paraId="2D67601D" w14:textId="5F62C77A" w:rsidR="00A568F6" w:rsidRPr="008E781C" w:rsidRDefault="00A568F6">
            <w:pPr>
              <w:jc w:val="right"/>
              <w:rPr>
                <w:rFonts w:cs="Calibri"/>
                <w:b/>
                <w:color w:val="000000"/>
                <w:sz w:val="18"/>
                <w:szCs w:val="18"/>
                <w:lang w:val="en-GB"/>
              </w:rPr>
            </w:pPr>
            <w:r w:rsidRPr="008E781C">
              <w:rPr>
                <w:rFonts w:cs="Calibri"/>
                <w:b/>
                <w:color w:val="000000"/>
                <w:sz w:val="18"/>
                <w:szCs w:val="18"/>
                <w:lang w:val="en-GB"/>
              </w:rPr>
              <w:t>80</w:t>
            </w:r>
            <w:r w:rsidR="00A96F52" w:rsidRPr="008E781C">
              <w:rPr>
                <w:rFonts w:cs="Calibri"/>
                <w:b/>
                <w:color w:val="000000"/>
                <w:sz w:val="18"/>
                <w:szCs w:val="18"/>
                <w:lang w:val="en-GB"/>
              </w:rPr>
              <w:t>.</w:t>
            </w:r>
            <w:r w:rsidRPr="008E781C">
              <w:rPr>
                <w:rFonts w:cs="Calibri"/>
                <w:b/>
                <w:color w:val="000000"/>
                <w:sz w:val="18"/>
                <w:szCs w:val="18"/>
                <w:lang w:val="en-GB"/>
              </w:rPr>
              <w:t>4</w:t>
            </w:r>
          </w:p>
        </w:tc>
        <w:tc>
          <w:tcPr>
            <w:tcW w:w="1560" w:type="dxa"/>
            <w:shd w:val="clear" w:color="auto" w:fill="B8CCE4" w:themeFill="accent1" w:themeFillTint="66"/>
            <w:noWrap/>
            <w:hideMark/>
          </w:tcPr>
          <w:p w14:paraId="71DF1392" w14:textId="63769B0F" w:rsidR="00A568F6" w:rsidRPr="008E781C" w:rsidRDefault="00A568F6">
            <w:pPr>
              <w:jc w:val="right"/>
              <w:rPr>
                <w:rFonts w:cs="Calibri"/>
                <w:b/>
                <w:color w:val="000000"/>
                <w:sz w:val="18"/>
                <w:szCs w:val="18"/>
                <w:lang w:val="en-GB"/>
              </w:rPr>
            </w:pPr>
            <w:r w:rsidRPr="008E781C">
              <w:rPr>
                <w:rFonts w:cs="Calibri"/>
                <w:b/>
                <w:color w:val="000000"/>
                <w:sz w:val="18"/>
                <w:szCs w:val="18"/>
                <w:lang w:val="en-GB"/>
              </w:rPr>
              <w:t>297</w:t>
            </w:r>
            <w:r w:rsidR="00A96F52" w:rsidRPr="008E781C">
              <w:rPr>
                <w:rFonts w:cs="Calibri"/>
                <w:b/>
                <w:color w:val="000000"/>
                <w:sz w:val="18"/>
                <w:szCs w:val="18"/>
                <w:lang w:val="en-GB"/>
              </w:rPr>
              <w:t>,</w:t>
            </w:r>
            <w:r w:rsidRPr="008E781C">
              <w:rPr>
                <w:rFonts w:cs="Calibri"/>
                <w:b/>
                <w:color w:val="000000"/>
                <w:sz w:val="18"/>
                <w:szCs w:val="18"/>
                <w:lang w:val="en-GB"/>
              </w:rPr>
              <w:t>756</w:t>
            </w:r>
            <w:r w:rsidR="00A96F52" w:rsidRPr="008E781C">
              <w:rPr>
                <w:rFonts w:cs="Calibri"/>
                <w:b/>
                <w:color w:val="000000"/>
                <w:sz w:val="18"/>
                <w:szCs w:val="18"/>
                <w:lang w:val="en-GB"/>
              </w:rPr>
              <w:t>,</w:t>
            </w:r>
            <w:r w:rsidRPr="008E781C">
              <w:rPr>
                <w:rFonts w:cs="Calibri"/>
                <w:b/>
                <w:color w:val="000000"/>
                <w:sz w:val="18"/>
                <w:szCs w:val="18"/>
                <w:lang w:val="en-GB"/>
              </w:rPr>
              <w:t>029</w:t>
            </w:r>
          </w:p>
        </w:tc>
        <w:tc>
          <w:tcPr>
            <w:tcW w:w="1852" w:type="dxa"/>
            <w:shd w:val="clear" w:color="auto" w:fill="B8CCE4" w:themeFill="accent1" w:themeFillTint="66"/>
            <w:noWrap/>
            <w:hideMark/>
          </w:tcPr>
          <w:p w14:paraId="15FEBC7B" w14:textId="582776AC" w:rsidR="00A568F6" w:rsidRPr="008E781C" w:rsidRDefault="00A568F6">
            <w:pPr>
              <w:jc w:val="right"/>
              <w:rPr>
                <w:rFonts w:cs="Calibri"/>
                <w:b/>
                <w:color w:val="000000"/>
                <w:sz w:val="18"/>
                <w:szCs w:val="18"/>
                <w:lang w:val="en-GB"/>
              </w:rPr>
            </w:pPr>
            <w:r w:rsidRPr="008E781C">
              <w:rPr>
                <w:rFonts w:cs="Calibri"/>
                <w:b/>
                <w:color w:val="000000"/>
                <w:sz w:val="18"/>
                <w:szCs w:val="18"/>
                <w:lang w:val="en-GB"/>
              </w:rPr>
              <w:t>80</w:t>
            </w:r>
            <w:r w:rsidR="00A96F52" w:rsidRPr="008E781C">
              <w:rPr>
                <w:rFonts w:cs="Calibri"/>
                <w:b/>
                <w:color w:val="000000"/>
                <w:sz w:val="18"/>
                <w:szCs w:val="18"/>
                <w:lang w:val="en-GB"/>
              </w:rPr>
              <w:t>.</w:t>
            </w:r>
            <w:r w:rsidRPr="008E781C">
              <w:rPr>
                <w:rFonts w:cs="Calibri"/>
                <w:b/>
                <w:color w:val="000000"/>
                <w:sz w:val="18"/>
                <w:szCs w:val="18"/>
                <w:lang w:val="en-GB"/>
              </w:rPr>
              <w:t>5</w:t>
            </w:r>
          </w:p>
        </w:tc>
      </w:tr>
      <w:tr w:rsidR="00A568F6" w:rsidRPr="008E781C" w14:paraId="422E2FE0" w14:textId="77777777" w:rsidTr="008C791E">
        <w:trPr>
          <w:trHeight w:val="300"/>
          <w:jc w:val="center"/>
        </w:trPr>
        <w:tc>
          <w:tcPr>
            <w:tcW w:w="2117" w:type="dxa"/>
            <w:shd w:val="clear" w:color="auto" w:fill="DBE5F1" w:themeFill="accent1" w:themeFillTint="33"/>
            <w:noWrap/>
            <w:hideMark/>
          </w:tcPr>
          <w:p w14:paraId="2FCE5A76" w14:textId="77777777" w:rsidR="00A568F6" w:rsidRPr="008E781C" w:rsidRDefault="00A568F6">
            <w:pPr>
              <w:rPr>
                <w:rFonts w:cs="Calibri"/>
                <w:color w:val="000000"/>
                <w:sz w:val="18"/>
                <w:szCs w:val="18"/>
                <w:lang w:val="en-GB"/>
              </w:rPr>
            </w:pPr>
            <w:r w:rsidRPr="008E781C">
              <w:rPr>
                <w:rFonts w:cs="Calibri"/>
                <w:color w:val="000000"/>
                <w:sz w:val="18"/>
                <w:szCs w:val="18"/>
                <w:lang w:val="en-GB"/>
              </w:rPr>
              <w:t>Rest</w:t>
            </w:r>
          </w:p>
        </w:tc>
        <w:tc>
          <w:tcPr>
            <w:tcW w:w="1556" w:type="dxa"/>
            <w:shd w:val="clear" w:color="auto" w:fill="DBE5F1" w:themeFill="accent1" w:themeFillTint="33"/>
            <w:noWrap/>
            <w:hideMark/>
          </w:tcPr>
          <w:p w14:paraId="1A7138C3" w14:textId="77777777" w:rsidR="00A568F6" w:rsidRPr="008E781C" w:rsidRDefault="00A568F6">
            <w:pPr>
              <w:jc w:val="right"/>
              <w:rPr>
                <w:rFonts w:cs="Calibri"/>
                <w:color w:val="000000"/>
                <w:sz w:val="18"/>
                <w:szCs w:val="18"/>
                <w:lang w:val="en-GB"/>
              </w:rPr>
            </w:pPr>
            <w:r w:rsidRPr="008E781C">
              <w:rPr>
                <w:rFonts w:cs="Calibri"/>
                <w:color w:val="000000"/>
                <w:sz w:val="18"/>
                <w:szCs w:val="18"/>
                <w:lang w:val="en-GB"/>
              </w:rPr>
              <w:t>96</w:t>
            </w:r>
          </w:p>
        </w:tc>
        <w:tc>
          <w:tcPr>
            <w:tcW w:w="1987" w:type="dxa"/>
            <w:shd w:val="clear" w:color="auto" w:fill="DBE5F1" w:themeFill="accent1" w:themeFillTint="33"/>
            <w:noWrap/>
            <w:hideMark/>
          </w:tcPr>
          <w:p w14:paraId="049B46CB" w14:textId="7D0097B8" w:rsidR="00A568F6" w:rsidRPr="008E781C" w:rsidRDefault="00A568F6">
            <w:pPr>
              <w:jc w:val="right"/>
              <w:rPr>
                <w:rFonts w:cs="Calibri"/>
                <w:color w:val="000000"/>
                <w:sz w:val="18"/>
                <w:szCs w:val="18"/>
                <w:lang w:val="en-GB"/>
              </w:rPr>
            </w:pPr>
            <w:r w:rsidRPr="008E781C">
              <w:rPr>
                <w:rFonts w:cs="Calibri"/>
                <w:color w:val="000000"/>
                <w:sz w:val="18"/>
                <w:szCs w:val="18"/>
                <w:lang w:val="en-GB"/>
              </w:rPr>
              <w:t>19</w:t>
            </w:r>
            <w:r w:rsidR="00A96F52" w:rsidRPr="008E781C">
              <w:rPr>
                <w:rFonts w:cs="Calibri"/>
                <w:color w:val="000000"/>
                <w:sz w:val="18"/>
                <w:szCs w:val="18"/>
                <w:lang w:val="en-GB"/>
              </w:rPr>
              <w:t>.</w:t>
            </w:r>
            <w:r w:rsidRPr="008E781C">
              <w:rPr>
                <w:rFonts w:cs="Calibri"/>
                <w:color w:val="000000"/>
                <w:sz w:val="18"/>
                <w:szCs w:val="18"/>
                <w:lang w:val="en-GB"/>
              </w:rPr>
              <w:t>6</w:t>
            </w:r>
          </w:p>
        </w:tc>
        <w:tc>
          <w:tcPr>
            <w:tcW w:w="1560" w:type="dxa"/>
            <w:shd w:val="clear" w:color="auto" w:fill="DBE5F1" w:themeFill="accent1" w:themeFillTint="33"/>
            <w:noWrap/>
            <w:hideMark/>
          </w:tcPr>
          <w:p w14:paraId="53F784D4" w14:textId="3EA63C0D" w:rsidR="00A568F6" w:rsidRPr="008E781C" w:rsidRDefault="00A568F6">
            <w:pPr>
              <w:jc w:val="right"/>
              <w:rPr>
                <w:rFonts w:cs="Calibri"/>
                <w:color w:val="000000"/>
                <w:sz w:val="18"/>
                <w:szCs w:val="18"/>
                <w:lang w:val="en-GB"/>
              </w:rPr>
            </w:pPr>
            <w:r w:rsidRPr="008E781C">
              <w:rPr>
                <w:rFonts w:cs="Calibri"/>
                <w:color w:val="000000"/>
                <w:sz w:val="18"/>
                <w:szCs w:val="18"/>
                <w:lang w:val="en-GB"/>
              </w:rPr>
              <w:t>72</w:t>
            </w:r>
            <w:r w:rsidR="00A96F52" w:rsidRPr="008E781C">
              <w:rPr>
                <w:rFonts w:cs="Calibri"/>
                <w:color w:val="000000"/>
                <w:sz w:val="18"/>
                <w:szCs w:val="18"/>
                <w:lang w:val="en-GB"/>
              </w:rPr>
              <w:t>,</w:t>
            </w:r>
            <w:r w:rsidRPr="008E781C">
              <w:rPr>
                <w:rFonts w:cs="Calibri"/>
                <w:color w:val="000000"/>
                <w:sz w:val="18"/>
                <w:szCs w:val="18"/>
                <w:lang w:val="en-GB"/>
              </w:rPr>
              <w:t>010</w:t>
            </w:r>
            <w:r w:rsidR="00A96F52" w:rsidRPr="008E781C">
              <w:rPr>
                <w:rFonts w:cs="Calibri"/>
                <w:color w:val="000000"/>
                <w:sz w:val="18"/>
                <w:szCs w:val="18"/>
                <w:lang w:val="en-GB"/>
              </w:rPr>
              <w:t>,</w:t>
            </w:r>
            <w:r w:rsidRPr="008E781C">
              <w:rPr>
                <w:rFonts w:cs="Calibri"/>
                <w:color w:val="000000"/>
                <w:sz w:val="18"/>
                <w:szCs w:val="18"/>
                <w:lang w:val="en-GB"/>
              </w:rPr>
              <w:t>596</w:t>
            </w:r>
          </w:p>
        </w:tc>
        <w:tc>
          <w:tcPr>
            <w:tcW w:w="1852" w:type="dxa"/>
            <w:shd w:val="clear" w:color="auto" w:fill="DBE5F1" w:themeFill="accent1" w:themeFillTint="33"/>
            <w:noWrap/>
            <w:hideMark/>
          </w:tcPr>
          <w:p w14:paraId="59AFA3DD" w14:textId="0A5A9FD5" w:rsidR="00A568F6" w:rsidRPr="008E781C" w:rsidRDefault="00A568F6">
            <w:pPr>
              <w:jc w:val="right"/>
              <w:rPr>
                <w:rFonts w:cs="Calibri"/>
                <w:color w:val="000000"/>
                <w:sz w:val="18"/>
                <w:szCs w:val="18"/>
                <w:lang w:val="en-GB"/>
              </w:rPr>
            </w:pPr>
            <w:r w:rsidRPr="008E781C">
              <w:rPr>
                <w:rFonts w:cs="Calibri"/>
                <w:color w:val="000000"/>
                <w:sz w:val="18"/>
                <w:szCs w:val="18"/>
                <w:lang w:val="en-GB"/>
              </w:rPr>
              <w:t>19</w:t>
            </w:r>
            <w:r w:rsidR="00A96F52" w:rsidRPr="008E781C">
              <w:rPr>
                <w:rFonts w:cs="Calibri"/>
                <w:color w:val="000000"/>
                <w:sz w:val="18"/>
                <w:szCs w:val="18"/>
                <w:lang w:val="en-GB"/>
              </w:rPr>
              <w:t>.</w:t>
            </w:r>
            <w:r w:rsidRPr="008E781C">
              <w:rPr>
                <w:rFonts w:cs="Calibri"/>
                <w:color w:val="000000"/>
                <w:sz w:val="18"/>
                <w:szCs w:val="18"/>
                <w:lang w:val="en-GB"/>
              </w:rPr>
              <w:t>5</w:t>
            </w:r>
          </w:p>
        </w:tc>
      </w:tr>
      <w:tr w:rsidR="00A568F6" w:rsidRPr="008E781C" w14:paraId="496AD73A" w14:textId="77777777" w:rsidTr="008C791E">
        <w:trPr>
          <w:trHeight w:val="300"/>
          <w:jc w:val="center"/>
        </w:trPr>
        <w:tc>
          <w:tcPr>
            <w:tcW w:w="2117" w:type="dxa"/>
            <w:shd w:val="clear" w:color="auto" w:fill="95B3D7" w:themeFill="accent1" w:themeFillTint="99"/>
            <w:noWrap/>
            <w:hideMark/>
          </w:tcPr>
          <w:p w14:paraId="00EF6F02" w14:textId="77777777" w:rsidR="00A568F6" w:rsidRPr="008E781C" w:rsidRDefault="00A568F6">
            <w:pPr>
              <w:rPr>
                <w:rFonts w:cs="Calibri"/>
                <w:b/>
                <w:color w:val="000000"/>
                <w:sz w:val="18"/>
                <w:szCs w:val="18"/>
                <w:lang w:val="en-GB"/>
              </w:rPr>
            </w:pPr>
            <w:r w:rsidRPr="008E781C">
              <w:rPr>
                <w:rFonts w:cs="Calibri"/>
                <w:b/>
                <w:color w:val="000000"/>
                <w:sz w:val="18"/>
                <w:szCs w:val="18"/>
                <w:lang w:val="en-GB"/>
              </w:rPr>
              <w:t>Total</w:t>
            </w:r>
          </w:p>
        </w:tc>
        <w:tc>
          <w:tcPr>
            <w:tcW w:w="1556" w:type="dxa"/>
            <w:shd w:val="clear" w:color="auto" w:fill="95B3D7" w:themeFill="accent1" w:themeFillTint="99"/>
            <w:noWrap/>
            <w:hideMark/>
          </w:tcPr>
          <w:p w14:paraId="7C824FE7" w14:textId="77777777" w:rsidR="00A568F6" w:rsidRPr="008E781C" w:rsidRDefault="00A568F6">
            <w:pPr>
              <w:jc w:val="right"/>
              <w:rPr>
                <w:rFonts w:cs="Calibri"/>
                <w:b/>
                <w:color w:val="000000"/>
                <w:sz w:val="18"/>
                <w:szCs w:val="18"/>
                <w:lang w:val="en-GB"/>
              </w:rPr>
            </w:pPr>
            <w:r w:rsidRPr="008E781C">
              <w:rPr>
                <w:rFonts w:cs="Calibri"/>
                <w:b/>
                <w:color w:val="000000"/>
                <w:sz w:val="18"/>
                <w:szCs w:val="18"/>
                <w:lang w:val="en-GB"/>
              </w:rPr>
              <w:t>490</w:t>
            </w:r>
          </w:p>
        </w:tc>
        <w:tc>
          <w:tcPr>
            <w:tcW w:w="1987" w:type="dxa"/>
            <w:shd w:val="clear" w:color="auto" w:fill="95B3D7" w:themeFill="accent1" w:themeFillTint="99"/>
            <w:noWrap/>
            <w:hideMark/>
          </w:tcPr>
          <w:p w14:paraId="2E404941" w14:textId="77777777" w:rsidR="00A568F6" w:rsidRPr="008E781C" w:rsidRDefault="00A568F6">
            <w:pPr>
              <w:jc w:val="right"/>
              <w:rPr>
                <w:rFonts w:cs="Calibri"/>
                <w:b/>
                <w:color w:val="000000"/>
                <w:sz w:val="18"/>
                <w:szCs w:val="18"/>
                <w:lang w:val="en-GB"/>
              </w:rPr>
            </w:pPr>
            <w:r w:rsidRPr="008E781C">
              <w:rPr>
                <w:rFonts w:cs="Calibri"/>
                <w:b/>
                <w:color w:val="000000"/>
                <w:sz w:val="18"/>
                <w:szCs w:val="18"/>
                <w:lang w:val="en-GB"/>
              </w:rPr>
              <w:t>100</w:t>
            </w:r>
          </w:p>
        </w:tc>
        <w:tc>
          <w:tcPr>
            <w:tcW w:w="1560" w:type="dxa"/>
            <w:shd w:val="clear" w:color="auto" w:fill="95B3D7" w:themeFill="accent1" w:themeFillTint="99"/>
            <w:noWrap/>
            <w:hideMark/>
          </w:tcPr>
          <w:p w14:paraId="73471D0D" w14:textId="45B6C555" w:rsidR="00A568F6" w:rsidRPr="008E781C" w:rsidRDefault="00A568F6">
            <w:pPr>
              <w:jc w:val="right"/>
              <w:rPr>
                <w:rFonts w:cs="Calibri"/>
                <w:b/>
                <w:color w:val="000000"/>
                <w:sz w:val="18"/>
                <w:szCs w:val="18"/>
                <w:lang w:val="en-GB"/>
              </w:rPr>
            </w:pPr>
            <w:r w:rsidRPr="008E781C">
              <w:rPr>
                <w:rFonts w:cs="Calibri"/>
                <w:b/>
                <w:color w:val="000000"/>
                <w:sz w:val="18"/>
                <w:szCs w:val="18"/>
                <w:lang w:val="en-GB"/>
              </w:rPr>
              <w:t>369</w:t>
            </w:r>
            <w:r w:rsidR="00A96F52" w:rsidRPr="008E781C">
              <w:rPr>
                <w:rFonts w:cs="Calibri"/>
                <w:b/>
                <w:color w:val="000000"/>
                <w:sz w:val="18"/>
                <w:szCs w:val="18"/>
                <w:lang w:val="en-GB"/>
              </w:rPr>
              <w:t>,</w:t>
            </w:r>
            <w:r w:rsidRPr="008E781C">
              <w:rPr>
                <w:rFonts w:cs="Calibri"/>
                <w:b/>
                <w:color w:val="000000"/>
                <w:sz w:val="18"/>
                <w:szCs w:val="18"/>
                <w:lang w:val="en-GB"/>
              </w:rPr>
              <w:t>766</w:t>
            </w:r>
            <w:r w:rsidR="00A96F52" w:rsidRPr="008E781C">
              <w:rPr>
                <w:rFonts w:cs="Calibri"/>
                <w:b/>
                <w:color w:val="000000"/>
                <w:sz w:val="18"/>
                <w:szCs w:val="18"/>
                <w:lang w:val="en-GB"/>
              </w:rPr>
              <w:t>,</w:t>
            </w:r>
            <w:r w:rsidRPr="008E781C">
              <w:rPr>
                <w:rFonts w:cs="Calibri"/>
                <w:b/>
                <w:color w:val="000000"/>
                <w:sz w:val="18"/>
                <w:szCs w:val="18"/>
                <w:lang w:val="en-GB"/>
              </w:rPr>
              <w:t>625</w:t>
            </w:r>
          </w:p>
        </w:tc>
        <w:tc>
          <w:tcPr>
            <w:tcW w:w="1852" w:type="dxa"/>
            <w:shd w:val="clear" w:color="auto" w:fill="95B3D7" w:themeFill="accent1" w:themeFillTint="99"/>
            <w:noWrap/>
            <w:hideMark/>
          </w:tcPr>
          <w:p w14:paraId="0A325EC8" w14:textId="77777777" w:rsidR="00A568F6" w:rsidRPr="008E781C" w:rsidRDefault="00A568F6">
            <w:pPr>
              <w:jc w:val="right"/>
              <w:rPr>
                <w:rFonts w:cs="Calibri"/>
                <w:b/>
                <w:color w:val="000000"/>
                <w:sz w:val="18"/>
                <w:szCs w:val="18"/>
                <w:lang w:val="en-GB"/>
              </w:rPr>
            </w:pPr>
            <w:r w:rsidRPr="008E781C">
              <w:rPr>
                <w:rFonts w:cs="Calibri"/>
                <w:b/>
                <w:color w:val="000000"/>
                <w:sz w:val="18"/>
                <w:szCs w:val="18"/>
                <w:lang w:val="en-GB"/>
              </w:rPr>
              <w:t>100</w:t>
            </w:r>
          </w:p>
        </w:tc>
      </w:tr>
    </w:tbl>
    <w:p w14:paraId="3B736788" w14:textId="555791DD" w:rsidR="006F24CB" w:rsidRPr="008E781C" w:rsidRDefault="006F24CB" w:rsidP="002636C6">
      <w:pPr>
        <w:pStyle w:val="MBT"/>
        <w:rPr>
          <w:color w:val="000000" w:themeColor="text1"/>
          <w:lang w:val="en-GB"/>
        </w:rPr>
      </w:pPr>
    </w:p>
    <w:p w14:paraId="49657F67" w14:textId="0FBD1A16" w:rsidR="00421BA2" w:rsidRPr="008E781C" w:rsidRDefault="00421BA2" w:rsidP="005370CE">
      <w:pPr>
        <w:pStyle w:val="MBT"/>
        <w:numPr>
          <w:ilvl w:val="0"/>
          <w:numId w:val="51"/>
        </w:numPr>
        <w:rPr>
          <w:color w:val="000000" w:themeColor="text1"/>
          <w:lang w:val="en-GB"/>
        </w:rPr>
      </w:pPr>
      <w:r w:rsidRPr="008E781C">
        <w:rPr>
          <w:b/>
          <w:color w:val="000000" w:themeColor="text1"/>
          <w:lang w:val="en-GB"/>
        </w:rPr>
        <w:t>Financial assets</w:t>
      </w:r>
      <w:r w:rsidRPr="008E781C">
        <w:rPr>
          <w:color w:val="000000" w:themeColor="text1"/>
          <w:lang w:val="en-GB"/>
        </w:rPr>
        <w:t xml:space="preserve"> investments </w:t>
      </w:r>
    </w:p>
    <w:p w14:paraId="2CFEDEFB" w14:textId="090E96DC" w:rsidR="00421BA2" w:rsidRPr="008E781C" w:rsidRDefault="00421BA2" w:rsidP="002636C6">
      <w:pPr>
        <w:pStyle w:val="MBT"/>
        <w:rPr>
          <w:color w:val="000000" w:themeColor="text1"/>
          <w:lang w:val="en-GB"/>
        </w:rPr>
      </w:pPr>
    </w:p>
    <w:p w14:paraId="7C9925DD" w14:textId="046F4132" w:rsidR="00A96F52" w:rsidRPr="008E781C" w:rsidRDefault="00A96F52" w:rsidP="008C791E">
      <w:pPr>
        <w:pStyle w:val="Caption"/>
        <w:keepNext/>
      </w:pPr>
      <w:r w:rsidRPr="008E781C">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5</w:t>
      </w:r>
      <w:r w:rsidR="00697A0F" w:rsidRPr="008E781C">
        <w:rPr>
          <w:noProof/>
        </w:rPr>
        <w:fldChar w:fldCharType="end"/>
      </w:r>
      <w:r w:rsidRPr="008E781C">
        <w:t xml:space="preserve"> Number and value of financial assets investments per country of origin</w:t>
      </w:r>
    </w:p>
    <w:tbl>
      <w:tblPr>
        <w:tblStyle w:val="MTableStyle"/>
        <w:tblW w:w="9062" w:type="dxa"/>
        <w:jc w:val="center"/>
        <w:tblLook w:val="04A0" w:firstRow="1" w:lastRow="0" w:firstColumn="1" w:lastColumn="0" w:noHBand="0" w:noVBand="1"/>
      </w:tblPr>
      <w:tblGrid>
        <w:gridCol w:w="2117"/>
        <w:gridCol w:w="1559"/>
        <w:gridCol w:w="1984"/>
        <w:gridCol w:w="1560"/>
        <w:gridCol w:w="1842"/>
      </w:tblGrid>
      <w:tr w:rsidR="00B708FD" w:rsidRPr="008E781C" w14:paraId="12B17DD9" w14:textId="77777777" w:rsidTr="008C791E">
        <w:trPr>
          <w:cnfStyle w:val="100000000000" w:firstRow="1" w:lastRow="0" w:firstColumn="0" w:lastColumn="0" w:oddVBand="0" w:evenVBand="0" w:oddHBand="0" w:evenHBand="0" w:firstRowFirstColumn="0" w:firstRowLastColumn="0" w:lastRowFirstColumn="0" w:lastRowLastColumn="0"/>
          <w:trHeight w:val="300"/>
          <w:tblHeader/>
          <w:jc w:val="center"/>
        </w:trPr>
        <w:tc>
          <w:tcPr>
            <w:tcW w:w="2117" w:type="dxa"/>
            <w:shd w:val="clear" w:color="auto" w:fill="4F81BD" w:themeFill="accent1"/>
            <w:noWrap/>
            <w:hideMark/>
          </w:tcPr>
          <w:p w14:paraId="7F75033F" w14:textId="649E670D" w:rsidR="00B708FD" w:rsidRPr="008E781C" w:rsidRDefault="00B708FD" w:rsidP="00B708FD">
            <w:pPr>
              <w:rPr>
                <w:rFonts w:ascii="Century Gothic" w:hAnsi="Century Gothic" w:cs="Calibri"/>
                <w:color w:val="000000"/>
                <w:sz w:val="18"/>
                <w:szCs w:val="18"/>
                <w:lang w:val="en-GB" w:eastAsia="fr-BE"/>
              </w:rPr>
            </w:pPr>
            <w:r w:rsidRPr="008E781C">
              <w:rPr>
                <w:rFonts w:ascii="Century Gothic" w:hAnsi="Century Gothic" w:cs="Calibri"/>
                <w:color w:val="000000"/>
                <w:sz w:val="18"/>
                <w:szCs w:val="18"/>
                <w:lang w:val="en-GB"/>
              </w:rPr>
              <w:t xml:space="preserve">Country </w:t>
            </w:r>
          </w:p>
        </w:tc>
        <w:tc>
          <w:tcPr>
            <w:tcW w:w="1559" w:type="dxa"/>
            <w:shd w:val="clear" w:color="auto" w:fill="4F81BD" w:themeFill="accent1"/>
            <w:noWrap/>
            <w:hideMark/>
          </w:tcPr>
          <w:p w14:paraId="470A8F48" w14:textId="2BE44C3E" w:rsidR="00B708FD" w:rsidRPr="008E781C" w:rsidRDefault="00B708FD" w:rsidP="00B708FD">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No. of investments</w:t>
            </w:r>
          </w:p>
        </w:tc>
        <w:tc>
          <w:tcPr>
            <w:tcW w:w="1984" w:type="dxa"/>
            <w:shd w:val="clear" w:color="auto" w:fill="4F81BD" w:themeFill="accent1"/>
            <w:noWrap/>
            <w:hideMark/>
          </w:tcPr>
          <w:p w14:paraId="7B279FAF" w14:textId="704DBD4A" w:rsidR="00B708FD" w:rsidRPr="008E781C" w:rsidRDefault="00B708FD" w:rsidP="00B708FD">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 of the total real estate investments made</w:t>
            </w:r>
          </w:p>
        </w:tc>
        <w:tc>
          <w:tcPr>
            <w:tcW w:w="1560" w:type="dxa"/>
            <w:shd w:val="clear" w:color="auto" w:fill="4F81BD" w:themeFill="accent1"/>
            <w:noWrap/>
            <w:hideMark/>
          </w:tcPr>
          <w:p w14:paraId="3A25F74F" w14:textId="7163A6C2" w:rsidR="00B708FD" w:rsidRPr="008E781C" w:rsidRDefault="00B708FD" w:rsidP="00B708FD">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Value (€)</w:t>
            </w:r>
          </w:p>
        </w:tc>
        <w:tc>
          <w:tcPr>
            <w:tcW w:w="1842" w:type="dxa"/>
            <w:shd w:val="clear" w:color="auto" w:fill="4F81BD" w:themeFill="accent1"/>
            <w:noWrap/>
            <w:hideMark/>
          </w:tcPr>
          <w:p w14:paraId="5D8D598E" w14:textId="17014974" w:rsidR="00B708FD" w:rsidRPr="008E781C" w:rsidRDefault="00B708FD" w:rsidP="00B708FD">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 of the total value of investment</w:t>
            </w:r>
          </w:p>
        </w:tc>
      </w:tr>
      <w:tr w:rsidR="00B708FD" w:rsidRPr="008E781C" w14:paraId="2B07782F" w14:textId="77777777" w:rsidTr="008C791E">
        <w:trPr>
          <w:trHeight w:val="300"/>
          <w:jc w:val="center"/>
        </w:trPr>
        <w:tc>
          <w:tcPr>
            <w:tcW w:w="2117" w:type="dxa"/>
            <w:shd w:val="clear" w:color="auto" w:fill="DBE5F1" w:themeFill="accent1" w:themeFillTint="33"/>
            <w:noWrap/>
            <w:hideMark/>
          </w:tcPr>
          <w:p w14:paraId="3E359877"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Russia</w:t>
            </w:r>
          </w:p>
        </w:tc>
        <w:tc>
          <w:tcPr>
            <w:tcW w:w="1559" w:type="dxa"/>
            <w:noWrap/>
            <w:hideMark/>
          </w:tcPr>
          <w:p w14:paraId="2926F4A2"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13</w:t>
            </w:r>
          </w:p>
        </w:tc>
        <w:tc>
          <w:tcPr>
            <w:tcW w:w="1984" w:type="dxa"/>
            <w:noWrap/>
            <w:hideMark/>
          </w:tcPr>
          <w:p w14:paraId="5683B7CD" w14:textId="276BAD0D"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44</w:t>
            </w:r>
            <w:r w:rsidR="00A96F52" w:rsidRPr="008E781C">
              <w:rPr>
                <w:rFonts w:cs="Calibri"/>
                <w:color w:val="000000"/>
                <w:sz w:val="18"/>
                <w:szCs w:val="18"/>
                <w:lang w:val="en-GB"/>
              </w:rPr>
              <w:t>.</w:t>
            </w:r>
            <w:r w:rsidRPr="008E781C">
              <w:rPr>
                <w:rFonts w:cs="Calibri"/>
                <w:color w:val="000000"/>
                <w:sz w:val="18"/>
                <w:szCs w:val="18"/>
                <w:lang w:val="en-GB"/>
              </w:rPr>
              <w:t>8</w:t>
            </w:r>
          </w:p>
        </w:tc>
        <w:tc>
          <w:tcPr>
            <w:tcW w:w="1560" w:type="dxa"/>
            <w:noWrap/>
            <w:hideMark/>
          </w:tcPr>
          <w:p w14:paraId="162F2238" w14:textId="24035A09"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15</w:t>
            </w:r>
            <w:r w:rsidR="00A96F52" w:rsidRPr="008E781C">
              <w:rPr>
                <w:rFonts w:cs="Calibri"/>
                <w:color w:val="000000"/>
                <w:sz w:val="18"/>
                <w:szCs w:val="18"/>
                <w:lang w:val="en-GB"/>
              </w:rPr>
              <w:t>,</w:t>
            </w:r>
            <w:r w:rsidRPr="008E781C">
              <w:rPr>
                <w:rFonts w:cs="Calibri"/>
                <w:color w:val="000000"/>
                <w:sz w:val="18"/>
                <w:szCs w:val="18"/>
                <w:lang w:val="en-GB"/>
              </w:rPr>
              <w:t>288</w:t>
            </w:r>
            <w:r w:rsidR="00A96F52" w:rsidRPr="008E781C">
              <w:rPr>
                <w:rFonts w:cs="Calibri"/>
                <w:color w:val="000000"/>
                <w:sz w:val="18"/>
                <w:szCs w:val="18"/>
                <w:lang w:val="en-GB"/>
              </w:rPr>
              <w:t>,</w:t>
            </w:r>
            <w:r w:rsidRPr="008E781C">
              <w:rPr>
                <w:rFonts w:cs="Calibri"/>
                <w:color w:val="000000"/>
                <w:sz w:val="18"/>
                <w:szCs w:val="18"/>
                <w:lang w:val="en-GB"/>
              </w:rPr>
              <w:t>527</w:t>
            </w:r>
          </w:p>
        </w:tc>
        <w:tc>
          <w:tcPr>
            <w:tcW w:w="1842" w:type="dxa"/>
            <w:noWrap/>
            <w:hideMark/>
          </w:tcPr>
          <w:p w14:paraId="294083A7" w14:textId="2FA1C291"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40</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72EC1554" w14:textId="77777777" w:rsidTr="008C791E">
        <w:trPr>
          <w:trHeight w:val="300"/>
          <w:jc w:val="center"/>
        </w:trPr>
        <w:tc>
          <w:tcPr>
            <w:tcW w:w="2117" w:type="dxa"/>
            <w:shd w:val="clear" w:color="auto" w:fill="DBE5F1" w:themeFill="accent1" w:themeFillTint="33"/>
            <w:noWrap/>
            <w:hideMark/>
          </w:tcPr>
          <w:p w14:paraId="589A66BC"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Ukraine</w:t>
            </w:r>
          </w:p>
        </w:tc>
        <w:tc>
          <w:tcPr>
            <w:tcW w:w="1559" w:type="dxa"/>
            <w:noWrap/>
            <w:hideMark/>
          </w:tcPr>
          <w:p w14:paraId="366414F6"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5</w:t>
            </w:r>
          </w:p>
        </w:tc>
        <w:tc>
          <w:tcPr>
            <w:tcW w:w="1984" w:type="dxa"/>
            <w:noWrap/>
            <w:hideMark/>
          </w:tcPr>
          <w:p w14:paraId="3884F2F7" w14:textId="6BB21076"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17</w:t>
            </w:r>
            <w:r w:rsidR="00A96F52" w:rsidRPr="008E781C">
              <w:rPr>
                <w:rFonts w:cs="Calibri"/>
                <w:color w:val="000000"/>
                <w:sz w:val="18"/>
                <w:szCs w:val="18"/>
                <w:lang w:val="en-GB"/>
              </w:rPr>
              <w:t>.</w:t>
            </w:r>
            <w:r w:rsidRPr="008E781C">
              <w:rPr>
                <w:rFonts w:cs="Calibri"/>
                <w:color w:val="000000"/>
                <w:sz w:val="18"/>
                <w:szCs w:val="18"/>
                <w:lang w:val="en-GB"/>
              </w:rPr>
              <w:t>2</w:t>
            </w:r>
          </w:p>
        </w:tc>
        <w:tc>
          <w:tcPr>
            <w:tcW w:w="1560" w:type="dxa"/>
            <w:noWrap/>
            <w:hideMark/>
          </w:tcPr>
          <w:p w14:paraId="5F69C026" w14:textId="74FC27AB"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260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76FD6A83"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22</w:t>
            </w:r>
          </w:p>
        </w:tc>
      </w:tr>
      <w:tr w:rsidR="00B708FD" w:rsidRPr="008E781C" w14:paraId="47C6AA18" w14:textId="77777777" w:rsidTr="008C791E">
        <w:trPr>
          <w:trHeight w:val="300"/>
          <w:jc w:val="center"/>
        </w:trPr>
        <w:tc>
          <w:tcPr>
            <w:tcW w:w="2117" w:type="dxa"/>
            <w:shd w:val="clear" w:color="auto" w:fill="DBE5F1" w:themeFill="accent1" w:themeFillTint="33"/>
            <w:noWrap/>
            <w:hideMark/>
          </w:tcPr>
          <w:p w14:paraId="65FB2D87"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Azerbaijan</w:t>
            </w:r>
          </w:p>
        </w:tc>
        <w:tc>
          <w:tcPr>
            <w:tcW w:w="1559" w:type="dxa"/>
            <w:noWrap/>
            <w:hideMark/>
          </w:tcPr>
          <w:p w14:paraId="700E712D"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7518C315" w14:textId="088AC974"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5200E0A8" w14:textId="0FFCE085"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000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06B779C2" w14:textId="733E0AEE"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09A8A753" w14:textId="77777777" w:rsidTr="008C791E">
        <w:trPr>
          <w:trHeight w:val="300"/>
          <w:jc w:val="center"/>
        </w:trPr>
        <w:tc>
          <w:tcPr>
            <w:tcW w:w="2117" w:type="dxa"/>
            <w:shd w:val="clear" w:color="auto" w:fill="DBE5F1" w:themeFill="accent1" w:themeFillTint="33"/>
            <w:noWrap/>
            <w:hideMark/>
          </w:tcPr>
          <w:p w14:paraId="2B78316A"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China</w:t>
            </w:r>
          </w:p>
        </w:tc>
        <w:tc>
          <w:tcPr>
            <w:tcW w:w="1559" w:type="dxa"/>
            <w:noWrap/>
            <w:hideMark/>
          </w:tcPr>
          <w:p w14:paraId="3D0C690E"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202704BF" w14:textId="2E364AA4"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13EDD1E1" w14:textId="1879154E"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000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25996AF3" w14:textId="78331598"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798C41B1" w14:textId="77777777" w:rsidTr="008C791E">
        <w:trPr>
          <w:trHeight w:val="300"/>
          <w:jc w:val="center"/>
        </w:trPr>
        <w:tc>
          <w:tcPr>
            <w:tcW w:w="2117" w:type="dxa"/>
            <w:shd w:val="clear" w:color="auto" w:fill="DBE5F1" w:themeFill="accent1" w:themeFillTint="33"/>
            <w:noWrap/>
            <w:hideMark/>
          </w:tcPr>
          <w:p w14:paraId="2627D3BA"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Colombia</w:t>
            </w:r>
          </w:p>
        </w:tc>
        <w:tc>
          <w:tcPr>
            <w:tcW w:w="1559" w:type="dxa"/>
            <w:noWrap/>
            <w:hideMark/>
          </w:tcPr>
          <w:p w14:paraId="60F23F5D"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4875C6D9" w14:textId="5AD05444"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695A5A88" w14:textId="252AC0D3"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435</w:t>
            </w:r>
            <w:r w:rsidR="00A96F52" w:rsidRPr="008E781C">
              <w:rPr>
                <w:rFonts w:cs="Calibri"/>
                <w:color w:val="000000"/>
                <w:sz w:val="18"/>
                <w:szCs w:val="18"/>
                <w:lang w:val="en-GB"/>
              </w:rPr>
              <w:t>,</w:t>
            </w:r>
            <w:r w:rsidRPr="008E781C">
              <w:rPr>
                <w:rFonts w:cs="Calibri"/>
                <w:color w:val="000000"/>
                <w:sz w:val="18"/>
                <w:szCs w:val="18"/>
                <w:lang w:val="en-GB"/>
              </w:rPr>
              <w:t>893</w:t>
            </w:r>
          </w:p>
        </w:tc>
        <w:tc>
          <w:tcPr>
            <w:tcW w:w="1842" w:type="dxa"/>
            <w:noWrap/>
            <w:hideMark/>
          </w:tcPr>
          <w:p w14:paraId="4A4FFC3B" w14:textId="743432F2"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8</w:t>
            </w:r>
          </w:p>
        </w:tc>
      </w:tr>
      <w:tr w:rsidR="00B708FD" w:rsidRPr="008E781C" w14:paraId="7E15048F" w14:textId="77777777" w:rsidTr="008C791E">
        <w:trPr>
          <w:trHeight w:val="300"/>
          <w:jc w:val="center"/>
        </w:trPr>
        <w:tc>
          <w:tcPr>
            <w:tcW w:w="2117" w:type="dxa"/>
            <w:shd w:val="clear" w:color="auto" w:fill="DBE5F1" w:themeFill="accent1" w:themeFillTint="33"/>
            <w:noWrap/>
            <w:hideMark/>
          </w:tcPr>
          <w:p w14:paraId="14C11079"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US</w:t>
            </w:r>
          </w:p>
        </w:tc>
        <w:tc>
          <w:tcPr>
            <w:tcW w:w="1559" w:type="dxa"/>
            <w:noWrap/>
            <w:hideMark/>
          </w:tcPr>
          <w:p w14:paraId="4DA1BE75"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511479CD" w14:textId="11935505"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19918B83" w14:textId="6B1F970E"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038</w:t>
            </w:r>
            <w:r w:rsidR="00A96F52" w:rsidRPr="008E781C">
              <w:rPr>
                <w:rFonts w:cs="Calibri"/>
                <w:color w:val="000000"/>
                <w:sz w:val="18"/>
                <w:szCs w:val="18"/>
                <w:lang w:val="en-GB"/>
              </w:rPr>
              <w:t>,</w:t>
            </w:r>
            <w:r w:rsidRPr="008E781C">
              <w:rPr>
                <w:rFonts w:cs="Calibri"/>
                <w:color w:val="000000"/>
                <w:sz w:val="18"/>
                <w:szCs w:val="18"/>
                <w:lang w:val="en-GB"/>
              </w:rPr>
              <w:t>856</w:t>
            </w:r>
          </w:p>
        </w:tc>
        <w:tc>
          <w:tcPr>
            <w:tcW w:w="1842" w:type="dxa"/>
            <w:noWrap/>
            <w:hideMark/>
          </w:tcPr>
          <w:p w14:paraId="7FA1D27D" w14:textId="35F2DE43"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1</w:t>
            </w:r>
          </w:p>
        </w:tc>
      </w:tr>
      <w:tr w:rsidR="00B708FD" w:rsidRPr="008E781C" w14:paraId="2AE89C90" w14:textId="77777777" w:rsidTr="008C791E">
        <w:trPr>
          <w:trHeight w:val="300"/>
          <w:jc w:val="center"/>
        </w:trPr>
        <w:tc>
          <w:tcPr>
            <w:tcW w:w="2117" w:type="dxa"/>
            <w:shd w:val="clear" w:color="auto" w:fill="DBE5F1" w:themeFill="accent1" w:themeFillTint="33"/>
            <w:noWrap/>
            <w:hideMark/>
          </w:tcPr>
          <w:p w14:paraId="075CEB99"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Lebanon</w:t>
            </w:r>
          </w:p>
        </w:tc>
        <w:tc>
          <w:tcPr>
            <w:tcW w:w="1559" w:type="dxa"/>
            <w:noWrap/>
            <w:hideMark/>
          </w:tcPr>
          <w:p w14:paraId="12C6F39F"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757CE696" w14:textId="414572A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53A701CD" w14:textId="28661F53"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000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48FCF24F" w14:textId="70CC7ED4"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16FC83F8" w14:textId="77777777" w:rsidTr="008C791E">
        <w:trPr>
          <w:trHeight w:val="300"/>
          <w:jc w:val="center"/>
        </w:trPr>
        <w:tc>
          <w:tcPr>
            <w:tcW w:w="2117" w:type="dxa"/>
            <w:shd w:val="clear" w:color="auto" w:fill="DBE5F1" w:themeFill="accent1" w:themeFillTint="33"/>
            <w:noWrap/>
            <w:hideMark/>
          </w:tcPr>
          <w:p w14:paraId="38CB0E50"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Mexico</w:t>
            </w:r>
          </w:p>
        </w:tc>
        <w:tc>
          <w:tcPr>
            <w:tcW w:w="1559" w:type="dxa"/>
            <w:noWrap/>
            <w:hideMark/>
          </w:tcPr>
          <w:p w14:paraId="60F0F046"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163E85C6" w14:textId="702A7663"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779EB652" w14:textId="06581630"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000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1EC56D3D" w14:textId="7C57E515"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7CE37036" w14:textId="77777777" w:rsidTr="008C791E">
        <w:trPr>
          <w:trHeight w:val="300"/>
          <w:jc w:val="center"/>
        </w:trPr>
        <w:tc>
          <w:tcPr>
            <w:tcW w:w="2117" w:type="dxa"/>
            <w:shd w:val="clear" w:color="auto" w:fill="DBE5F1" w:themeFill="accent1" w:themeFillTint="33"/>
            <w:noWrap/>
            <w:hideMark/>
          </w:tcPr>
          <w:p w14:paraId="705F8D85"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lastRenderedPageBreak/>
              <w:t>Refugee</w:t>
            </w:r>
          </w:p>
        </w:tc>
        <w:tc>
          <w:tcPr>
            <w:tcW w:w="1559" w:type="dxa"/>
            <w:noWrap/>
            <w:hideMark/>
          </w:tcPr>
          <w:p w14:paraId="1CC50BA6"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4E5C9B2C" w14:textId="52FC58EE"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51B9C5D8" w14:textId="4BB16FEC"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000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5EE7C7A8" w14:textId="711F8553"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7</w:t>
            </w:r>
          </w:p>
        </w:tc>
      </w:tr>
      <w:tr w:rsidR="00B708FD" w:rsidRPr="008E781C" w14:paraId="0BDB0CF3" w14:textId="77777777" w:rsidTr="008C791E">
        <w:trPr>
          <w:trHeight w:val="300"/>
          <w:jc w:val="center"/>
        </w:trPr>
        <w:tc>
          <w:tcPr>
            <w:tcW w:w="2117" w:type="dxa"/>
            <w:shd w:val="clear" w:color="auto" w:fill="DBE5F1" w:themeFill="accent1" w:themeFillTint="33"/>
            <w:noWrap/>
            <w:hideMark/>
          </w:tcPr>
          <w:p w14:paraId="3C54D54F"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Tunisia</w:t>
            </w:r>
          </w:p>
        </w:tc>
        <w:tc>
          <w:tcPr>
            <w:tcW w:w="1559" w:type="dxa"/>
            <w:noWrap/>
            <w:hideMark/>
          </w:tcPr>
          <w:p w14:paraId="1D87FDC2"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p>
        </w:tc>
        <w:tc>
          <w:tcPr>
            <w:tcW w:w="1984" w:type="dxa"/>
            <w:noWrap/>
            <w:hideMark/>
          </w:tcPr>
          <w:p w14:paraId="051ECEF3" w14:textId="614AC420"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w:t>
            </w:r>
          </w:p>
        </w:tc>
        <w:tc>
          <w:tcPr>
            <w:tcW w:w="1560" w:type="dxa"/>
            <w:noWrap/>
            <w:hideMark/>
          </w:tcPr>
          <w:p w14:paraId="09F60118" w14:textId="6458DA4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w:t>
            </w:r>
            <w:r w:rsidR="00A96F52" w:rsidRPr="008E781C">
              <w:rPr>
                <w:rFonts w:cs="Calibri"/>
                <w:color w:val="000000"/>
                <w:sz w:val="18"/>
                <w:szCs w:val="18"/>
                <w:lang w:val="en-GB"/>
              </w:rPr>
              <w:t>,</w:t>
            </w:r>
            <w:r w:rsidRPr="008E781C">
              <w:rPr>
                <w:rFonts w:cs="Calibri"/>
                <w:color w:val="000000"/>
                <w:sz w:val="18"/>
                <w:szCs w:val="18"/>
                <w:lang w:val="en-GB"/>
              </w:rPr>
              <w:t>040</w:t>
            </w:r>
            <w:r w:rsidR="00A96F52" w:rsidRPr="008E781C">
              <w:rPr>
                <w:rFonts w:cs="Calibri"/>
                <w:color w:val="000000"/>
                <w:sz w:val="18"/>
                <w:szCs w:val="18"/>
                <w:lang w:val="en-GB"/>
              </w:rPr>
              <w:t>,</w:t>
            </w:r>
            <w:r w:rsidRPr="008E781C">
              <w:rPr>
                <w:rFonts w:cs="Calibri"/>
                <w:color w:val="000000"/>
                <w:sz w:val="18"/>
                <w:szCs w:val="18"/>
                <w:lang w:val="en-GB"/>
              </w:rPr>
              <w:t>000</w:t>
            </w:r>
          </w:p>
        </w:tc>
        <w:tc>
          <w:tcPr>
            <w:tcW w:w="1842" w:type="dxa"/>
            <w:noWrap/>
            <w:hideMark/>
          </w:tcPr>
          <w:p w14:paraId="3D94ADC4" w14:textId="3FBAB1E1"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2</w:t>
            </w:r>
            <w:r w:rsidR="00A96F52" w:rsidRPr="008E781C">
              <w:rPr>
                <w:rFonts w:cs="Calibri"/>
                <w:color w:val="000000"/>
                <w:sz w:val="18"/>
                <w:szCs w:val="18"/>
                <w:lang w:val="en-GB"/>
              </w:rPr>
              <w:t>.</w:t>
            </w:r>
            <w:r w:rsidRPr="008E781C">
              <w:rPr>
                <w:rFonts w:cs="Calibri"/>
                <w:color w:val="000000"/>
                <w:sz w:val="18"/>
                <w:szCs w:val="18"/>
                <w:lang w:val="en-GB"/>
              </w:rPr>
              <w:t>8</w:t>
            </w:r>
          </w:p>
        </w:tc>
      </w:tr>
      <w:tr w:rsidR="00B708FD" w:rsidRPr="008E781C" w14:paraId="48610118" w14:textId="77777777" w:rsidTr="008C791E">
        <w:trPr>
          <w:trHeight w:val="300"/>
          <w:jc w:val="center"/>
        </w:trPr>
        <w:tc>
          <w:tcPr>
            <w:tcW w:w="2117" w:type="dxa"/>
            <w:shd w:val="clear" w:color="auto" w:fill="DBE5F1" w:themeFill="accent1" w:themeFillTint="33"/>
            <w:noWrap/>
            <w:hideMark/>
          </w:tcPr>
          <w:p w14:paraId="6D8C8A76" w14:textId="77777777" w:rsidR="00B708FD" w:rsidRPr="008E781C" w:rsidRDefault="00B708FD" w:rsidP="00B708FD">
            <w:pPr>
              <w:rPr>
                <w:rFonts w:cs="Calibri"/>
                <w:color w:val="000000"/>
                <w:sz w:val="18"/>
                <w:szCs w:val="18"/>
                <w:lang w:val="en-GB"/>
              </w:rPr>
            </w:pPr>
            <w:r w:rsidRPr="008E781C">
              <w:rPr>
                <w:rFonts w:cs="Calibri"/>
                <w:color w:val="000000"/>
                <w:sz w:val="18"/>
                <w:szCs w:val="18"/>
                <w:lang w:val="en-GB"/>
              </w:rPr>
              <w:t xml:space="preserve">Venezuela </w:t>
            </w:r>
          </w:p>
        </w:tc>
        <w:tc>
          <w:tcPr>
            <w:tcW w:w="1559" w:type="dxa"/>
            <w:noWrap/>
            <w:hideMark/>
          </w:tcPr>
          <w:p w14:paraId="43A8B5F2" w14:textId="77777777"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p>
        </w:tc>
        <w:tc>
          <w:tcPr>
            <w:tcW w:w="1984" w:type="dxa"/>
            <w:noWrap/>
            <w:hideMark/>
          </w:tcPr>
          <w:p w14:paraId="3A58E01A" w14:textId="7846E7A4"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10</w:t>
            </w:r>
            <w:r w:rsidR="00A96F52" w:rsidRPr="008E781C">
              <w:rPr>
                <w:rFonts w:cs="Calibri"/>
                <w:color w:val="000000"/>
                <w:sz w:val="18"/>
                <w:szCs w:val="18"/>
                <w:lang w:val="en-GB"/>
              </w:rPr>
              <w:t>.</w:t>
            </w:r>
            <w:r w:rsidRPr="008E781C">
              <w:rPr>
                <w:rFonts w:cs="Calibri"/>
                <w:color w:val="000000"/>
                <w:sz w:val="18"/>
                <w:szCs w:val="18"/>
                <w:lang w:val="en-GB"/>
              </w:rPr>
              <w:t>3</w:t>
            </w:r>
          </w:p>
        </w:tc>
        <w:tc>
          <w:tcPr>
            <w:tcW w:w="1560" w:type="dxa"/>
            <w:noWrap/>
            <w:hideMark/>
          </w:tcPr>
          <w:p w14:paraId="7E9A2174" w14:textId="2B809FEC"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3</w:t>
            </w:r>
            <w:r w:rsidR="00A96F52" w:rsidRPr="008E781C">
              <w:rPr>
                <w:rFonts w:cs="Calibri"/>
                <w:color w:val="000000"/>
                <w:sz w:val="18"/>
                <w:szCs w:val="18"/>
                <w:lang w:val="en-GB"/>
              </w:rPr>
              <w:t>,</w:t>
            </w:r>
            <w:r w:rsidRPr="008E781C">
              <w:rPr>
                <w:rFonts w:cs="Calibri"/>
                <w:color w:val="000000"/>
                <w:sz w:val="18"/>
                <w:szCs w:val="18"/>
                <w:lang w:val="en-GB"/>
              </w:rPr>
              <w:t>480</w:t>
            </w:r>
            <w:r w:rsidR="00A96F52" w:rsidRPr="008E781C">
              <w:rPr>
                <w:rFonts w:cs="Calibri"/>
                <w:color w:val="000000"/>
                <w:sz w:val="18"/>
                <w:szCs w:val="18"/>
                <w:lang w:val="en-GB"/>
              </w:rPr>
              <w:t>,</w:t>
            </w:r>
            <w:r w:rsidRPr="008E781C">
              <w:rPr>
                <w:rFonts w:cs="Calibri"/>
                <w:color w:val="000000"/>
                <w:sz w:val="18"/>
                <w:szCs w:val="18"/>
                <w:lang w:val="en-GB"/>
              </w:rPr>
              <w:t>420</w:t>
            </w:r>
          </w:p>
        </w:tc>
        <w:tc>
          <w:tcPr>
            <w:tcW w:w="1842" w:type="dxa"/>
            <w:noWrap/>
            <w:hideMark/>
          </w:tcPr>
          <w:p w14:paraId="7A026170" w14:textId="0083FCE6" w:rsidR="00B708FD" w:rsidRPr="008E781C" w:rsidRDefault="00B708FD" w:rsidP="00B708FD">
            <w:pPr>
              <w:jc w:val="right"/>
              <w:rPr>
                <w:rFonts w:cs="Calibri"/>
                <w:color w:val="000000"/>
                <w:sz w:val="18"/>
                <w:szCs w:val="18"/>
                <w:lang w:val="en-GB"/>
              </w:rPr>
            </w:pPr>
            <w:r w:rsidRPr="008E781C">
              <w:rPr>
                <w:rFonts w:cs="Calibri"/>
                <w:color w:val="000000"/>
                <w:sz w:val="18"/>
                <w:szCs w:val="18"/>
                <w:lang w:val="en-GB"/>
              </w:rPr>
              <w:t>9</w:t>
            </w:r>
            <w:r w:rsidR="00A96F52" w:rsidRPr="008E781C">
              <w:rPr>
                <w:rFonts w:cs="Calibri"/>
                <w:color w:val="000000"/>
                <w:sz w:val="18"/>
                <w:szCs w:val="18"/>
                <w:lang w:val="en-GB"/>
              </w:rPr>
              <w:t>.</w:t>
            </w:r>
            <w:r w:rsidRPr="008E781C">
              <w:rPr>
                <w:rFonts w:cs="Calibri"/>
                <w:color w:val="000000"/>
                <w:sz w:val="18"/>
                <w:szCs w:val="18"/>
                <w:lang w:val="en-GB"/>
              </w:rPr>
              <w:t>3</w:t>
            </w:r>
          </w:p>
        </w:tc>
      </w:tr>
      <w:tr w:rsidR="00B708FD" w:rsidRPr="008E781C" w14:paraId="54C01488" w14:textId="77777777" w:rsidTr="008C791E">
        <w:trPr>
          <w:trHeight w:val="300"/>
          <w:jc w:val="center"/>
        </w:trPr>
        <w:tc>
          <w:tcPr>
            <w:tcW w:w="2117" w:type="dxa"/>
            <w:shd w:val="clear" w:color="auto" w:fill="95B3D7" w:themeFill="accent1" w:themeFillTint="99"/>
            <w:noWrap/>
            <w:hideMark/>
          </w:tcPr>
          <w:p w14:paraId="4C73D5DA" w14:textId="77777777" w:rsidR="00B708FD" w:rsidRPr="008E781C" w:rsidRDefault="00B708FD" w:rsidP="00B708FD">
            <w:pPr>
              <w:rPr>
                <w:rFonts w:cs="Calibri"/>
                <w:b/>
                <w:color w:val="000000"/>
                <w:sz w:val="18"/>
                <w:szCs w:val="18"/>
                <w:lang w:val="en-GB"/>
              </w:rPr>
            </w:pPr>
            <w:r w:rsidRPr="008E781C">
              <w:rPr>
                <w:rFonts w:cs="Calibri"/>
                <w:b/>
                <w:color w:val="000000"/>
                <w:sz w:val="18"/>
                <w:szCs w:val="18"/>
                <w:lang w:val="en-GB"/>
              </w:rPr>
              <w:t>Total</w:t>
            </w:r>
          </w:p>
        </w:tc>
        <w:tc>
          <w:tcPr>
            <w:tcW w:w="1559" w:type="dxa"/>
            <w:shd w:val="clear" w:color="auto" w:fill="95B3D7" w:themeFill="accent1" w:themeFillTint="99"/>
            <w:noWrap/>
            <w:hideMark/>
          </w:tcPr>
          <w:p w14:paraId="12DFE7C3" w14:textId="77777777" w:rsidR="00B708FD" w:rsidRPr="008E781C" w:rsidRDefault="00B708FD" w:rsidP="00B708FD">
            <w:pPr>
              <w:jc w:val="right"/>
              <w:rPr>
                <w:rFonts w:cs="Calibri"/>
                <w:b/>
                <w:color w:val="000000"/>
                <w:sz w:val="18"/>
                <w:szCs w:val="18"/>
                <w:lang w:val="en-GB"/>
              </w:rPr>
            </w:pPr>
            <w:r w:rsidRPr="008E781C">
              <w:rPr>
                <w:rFonts w:cs="Calibri"/>
                <w:b/>
                <w:color w:val="000000"/>
                <w:sz w:val="18"/>
                <w:szCs w:val="18"/>
                <w:lang w:val="en-GB"/>
              </w:rPr>
              <w:t>29</w:t>
            </w:r>
          </w:p>
        </w:tc>
        <w:tc>
          <w:tcPr>
            <w:tcW w:w="1984" w:type="dxa"/>
            <w:shd w:val="clear" w:color="auto" w:fill="95B3D7" w:themeFill="accent1" w:themeFillTint="99"/>
            <w:noWrap/>
            <w:hideMark/>
          </w:tcPr>
          <w:p w14:paraId="32CAD5F8" w14:textId="77777777" w:rsidR="00B708FD" w:rsidRPr="008E781C" w:rsidRDefault="00B708FD" w:rsidP="00B708FD">
            <w:pPr>
              <w:jc w:val="right"/>
              <w:rPr>
                <w:rFonts w:cs="Calibri"/>
                <w:b/>
                <w:color w:val="000000"/>
                <w:sz w:val="18"/>
                <w:szCs w:val="18"/>
                <w:lang w:val="en-GB"/>
              </w:rPr>
            </w:pPr>
            <w:r w:rsidRPr="008E781C">
              <w:rPr>
                <w:rFonts w:cs="Calibri"/>
                <w:b/>
                <w:color w:val="000000"/>
                <w:sz w:val="18"/>
                <w:szCs w:val="18"/>
                <w:lang w:val="en-GB"/>
              </w:rPr>
              <w:t>100</w:t>
            </w:r>
          </w:p>
        </w:tc>
        <w:tc>
          <w:tcPr>
            <w:tcW w:w="1560" w:type="dxa"/>
            <w:shd w:val="clear" w:color="auto" w:fill="95B3D7" w:themeFill="accent1" w:themeFillTint="99"/>
            <w:noWrap/>
            <w:hideMark/>
          </w:tcPr>
          <w:p w14:paraId="2A7F526D" w14:textId="5AA6A3E7" w:rsidR="00B708FD" w:rsidRPr="008E781C" w:rsidRDefault="00B708FD" w:rsidP="00B708FD">
            <w:pPr>
              <w:jc w:val="right"/>
              <w:rPr>
                <w:rFonts w:cs="Calibri"/>
                <w:b/>
                <w:color w:val="000000"/>
                <w:sz w:val="18"/>
                <w:szCs w:val="18"/>
                <w:lang w:val="en-GB"/>
              </w:rPr>
            </w:pPr>
            <w:r w:rsidRPr="008E781C">
              <w:rPr>
                <w:rFonts w:cs="Calibri"/>
                <w:b/>
                <w:color w:val="000000"/>
                <w:sz w:val="18"/>
                <w:szCs w:val="18"/>
                <w:lang w:val="en-GB"/>
              </w:rPr>
              <w:t>37</w:t>
            </w:r>
            <w:r w:rsidR="00A96F52" w:rsidRPr="008E781C">
              <w:rPr>
                <w:rFonts w:cs="Calibri"/>
                <w:b/>
                <w:color w:val="000000"/>
                <w:sz w:val="18"/>
                <w:szCs w:val="18"/>
                <w:lang w:val="en-GB"/>
              </w:rPr>
              <w:t>,</w:t>
            </w:r>
            <w:r w:rsidRPr="008E781C">
              <w:rPr>
                <w:rFonts w:cs="Calibri"/>
                <w:b/>
                <w:color w:val="000000"/>
                <w:sz w:val="18"/>
                <w:szCs w:val="18"/>
                <w:lang w:val="en-GB"/>
              </w:rPr>
              <w:t>543</w:t>
            </w:r>
            <w:r w:rsidR="00A96F52" w:rsidRPr="008E781C">
              <w:rPr>
                <w:rFonts w:cs="Calibri"/>
                <w:b/>
                <w:color w:val="000000"/>
                <w:sz w:val="18"/>
                <w:szCs w:val="18"/>
                <w:lang w:val="en-GB"/>
              </w:rPr>
              <w:t>,</w:t>
            </w:r>
            <w:r w:rsidRPr="008E781C">
              <w:rPr>
                <w:rFonts w:cs="Calibri"/>
                <w:b/>
                <w:color w:val="000000"/>
                <w:sz w:val="18"/>
                <w:szCs w:val="18"/>
                <w:lang w:val="en-GB"/>
              </w:rPr>
              <w:t>696</w:t>
            </w:r>
          </w:p>
        </w:tc>
        <w:tc>
          <w:tcPr>
            <w:tcW w:w="1842" w:type="dxa"/>
            <w:shd w:val="clear" w:color="auto" w:fill="95B3D7" w:themeFill="accent1" w:themeFillTint="99"/>
            <w:noWrap/>
            <w:hideMark/>
          </w:tcPr>
          <w:p w14:paraId="7189F670" w14:textId="77777777" w:rsidR="00B708FD" w:rsidRPr="008E781C" w:rsidRDefault="00B708FD" w:rsidP="00B708FD">
            <w:pPr>
              <w:jc w:val="right"/>
              <w:rPr>
                <w:rFonts w:cs="Calibri"/>
                <w:b/>
                <w:color w:val="000000"/>
                <w:sz w:val="18"/>
                <w:szCs w:val="18"/>
                <w:lang w:val="en-GB"/>
              </w:rPr>
            </w:pPr>
            <w:r w:rsidRPr="008E781C">
              <w:rPr>
                <w:rFonts w:cs="Calibri"/>
                <w:b/>
                <w:color w:val="000000"/>
                <w:sz w:val="18"/>
                <w:szCs w:val="18"/>
                <w:lang w:val="en-GB"/>
              </w:rPr>
              <w:t>100</w:t>
            </w:r>
          </w:p>
        </w:tc>
      </w:tr>
    </w:tbl>
    <w:p w14:paraId="0FBE2B80" w14:textId="77777777" w:rsidR="00421BA2" w:rsidRPr="008E781C" w:rsidRDefault="00421BA2" w:rsidP="002636C6">
      <w:pPr>
        <w:pStyle w:val="MBT"/>
        <w:rPr>
          <w:color w:val="000000" w:themeColor="text1"/>
          <w:lang w:val="en-GB"/>
        </w:rPr>
      </w:pPr>
    </w:p>
    <w:p w14:paraId="184FF8AC" w14:textId="45EABA39" w:rsidR="00421BA2" w:rsidRPr="008E781C" w:rsidRDefault="00421BA2" w:rsidP="005370CE">
      <w:pPr>
        <w:pStyle w:val="MBT"/>
        <w:numPr>
          <w:ilvl w:val="0"/>
          <w:numId w:val="51"/>
        </w:numPr>
        <w:rPr>
          <w:color w:val="000000" w:themeColor="text1"/>
          <w:lang w:val="en-GB"/>
        </w:rPr>
      </w:pPr>
      <w:r w:rsidRPr="008E781C">
        <w:rPr>
          <w:b/>
          <w:color w:val="000000" w:themeColor="text1"/>
          <w:lang w:val="en-GB"/>
        </w:rPr>
        <w:t>Business projects</w:t>
      </w:r>
      <w:r w:rsidRPr="008E781C">
        <w:rPr>
          <w:color w:val="000000" w:themeColor="text1"/>
          <w:lang w:val="en-GB"/>
        </w:rPr>
        <w:t xml:space="preserve"> investments </w:t>
      </w:r>
    </w:p>
    <w:p w14:paraId="3AB094EB" w14:textId="6076EABD" w:rsidR="00421BA2" w:rsidRPr="008E781C" w:rsidRDefault="00421BA2" w:rsidP="00421BA2">
      <w:pPr>
        <w:pStyle w:val="MBT"/>
        <w:rPr>
          <w:color w:val="000000" w:themeColor="text1"/>
          <w:lang w:val="en-GB"/>
        </w:rPr>
      </w:pPr>
    </w:p>
    <w:p w14:paraId="4E7366E5" w14:textId="1AF982C2" w:rsidR="00A96F52" w:rsidRPr="008E781C" w:rsidRDefault="00A96F52" w:rsidP="008C791E">
      <w:pPr>
        <w:pStyle w:val="Caption"/>
        <w:keepNext/>
      </w:pPr>
      <w:r w:rsidRPr="008E781C">
        <w:t xml:space="preserve">Table </w:t>
      </w:r>
      <w:r w:rsidR="00697A0F" w:rsidRPr="008E781C">
        <w:rPr>
          <w:noProof/>
        </w:rPr>
        <w:fldChar w:fldCharType="begin"/>
      </w:r>
      <w:r w:rsidR="00697A0F" w:rsidRPr="008E781C">
        <w:rPr>
          <w:noProof/>
        </w:rPr>
        <w:instrText xml:space="preserve"> SEQ Table \* ARABIC </w:instrText>
      </w:r>
      <w:r w:rsidR="00697A0F" w:rsidRPr="008E781C">
        <w:rPr>
          <w:noProof/>
        </w:rPr>
        <w:fldChar w:fldCharType="separate"/>
      </w:r>
      <w:r w:rsidR="005F02F1" w:rsidRPr="008E781C">
        <w:rPr>
          <w:noProof/>
        </w:rPr>
        <w:t>6</w:t>
      </w:r>
      <w:r w:rsidR="00697A0F" w:rsidRPr="008E781C">
        <w:rPr>
          <w:noProof/>
        </w:rPr>
        <w:fldChar w:fldCharType="end"/>
      </w:r>
      <w:r w:rsidRPr="008E781C">
        <w:t xml:space="preserve"> Number and value of business projects investments per country of origin</w:t>
      </w:r>
    </w:p>
    <w:tbl>
      <w:tblPr>
        <w:tblStyle w:val="MTableStyle"/>
        <w:tblW w:w="0" w:type="auto"/>
        <w:jc w:val="center"/>
        <w:tblLook w:val="04A0" w:firstRow="1" w:lastRow="0" w:firstColumn="1" w:lastColumn="0" w:noHBand="0" w:noVBand="1"/>
      </w:tblPr>
      <w:tblGrid>
        <w:gridCol w:w="2117"/>
        <w:gridCol w:w="3827"/>
        <w:gridCol w:w="3062"/>
      </w:tblGrid>
      <w:tr w:rsidR="00421BA2" w:rsidRPr="008E781C" w14:paraId="31715A5B" w14:textId="77777777" w:rsidTr="008C791E">
        <w:trPr>
          <w:cnfStyle w:val="100000000000" w:firstRow="1" w:lastRow="0" w:firstColumn="0" w:lastColumn="0" w:oddVBand="0" w:evenVBand="0" w:oddHBand="0" w:evenHBand="0" w:firstRowFirstColumn="0" w:firstRowLastColumn="0" w:lastRowFirstColumn="0" w:lastRowLastColumn="0"/>
          <w:trHeight w:val="300"/>
          <w:jc w:val="center"/>
        </w:trPr>
        <w:tc>
          <w:tcPr>
            <w:tcW w:w="2117" w:type="dxa"/>
            <w:shd w:val="clear" w:color="auto" w:fill="4F81BD" w:themeFill="accent1"/>
            <w:noWrap/>
            <w:hideMark/>
          </w:tcPr>
          <w:p w14:paraId="351C551A" w14:textId="77777777" w:rsidR="00421BA2" w:rsidRPr="008E781C" w:rsidRDefault="00421BA2" w:rsidP="00421BA2">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 xml:space="preserve">Country </w:t>
            </w:r>
          </w:p>
        </w:tc>
        <w:tc>
          <w:tcPr>
            <w:tcW w:w="3827" w:type="dxa"/>
            <w:shd w:val="clear" w:color="auto" w:fill="4F81BD" w:themeFill="accent1"/>
            <w:noWrap/>
            <w:hideMark/>
          </w:tcPr>
          <w:p w14:paraId="1AF99486" w14:textId="530BC2A5" w:rsidR="00421BA2" w:rsidRPr="008E781C" w:rsidRDefault="00421BA2" w:rsidP="00421BA2">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No</w:t>
            </w:r>
            <w:r w:rsidR="000D010B" w:rsidRPr="008E781C">
              <w:rPr>
                <w:rFonts w:ascii="Century Gothic" w:hAnsi="Century Gothic" w:cs="Calibri"/>
                <w:color w:val="000000"/>
                <w:sz w:val="18"/>
                <w:szCs w:val="18"/>
                <w:lang w:val="en-GB"/>
              </w:rPr>
              <w:t>.</w:t>
            </w:r>
            <w:r w:rsidR="00B708FD" w:rsidRPr="008E781C">
              <w:rPr>
                <w:rFonts w:ascii="Century Gothic" w:hAnsi="Century Gothic" w:cs="Calibri"/>
                <w:color w:val="000000"/>
                <w:sz w:val="18"/>
                <w:szCs w:val="18"/>
                <w:lang w:val="en-GB"/>
              </w:rPr>
              <w:t xml:space="preserve"> of investment</w:t>
            </w:r>
            <w:r w:rsidR="000D010B" w:rsidRPr="008E781C">
              <w:rPr>
                <w:rFonts w:ascii="Century Gothic" w:hAnsi="Century Gothic" w:cs="Calibri"/>
                <w:color w:val="000000"/>
                <w:sz w:val="18"/>
                <w:szCs w:val="18"/>
                <w:lang w:val="en-GB"/>
              </w:rPr>
              <w:t>s</w:t>
            </w:r>
            <w:r w:rsidR="00A96F52" w:rsidRPr="008E781C">
              <w:rPr>
                <w:rFonts w:ascii="Century Gothic" w:hAnsi="Century Gothic" w:cs="Calibri"/>
                <w:color w:val="000000"/>
                <w:sz w:val="18"/>
                <w:szCs w:val="18"/>
                <w:lang w:val="en-GB"/>
              </w:rPr>
              <w:t xml:space="preserve"> (business project</w:t>
            </w:r>
            <w:r w:rsidR="000D010B" w:rsidRPr="008E781C">
              <w:rPr>
                <w:rFonts w:ascii="Century Gothic" w:hAnsi="Century Gothic" w:cs="Calibri"/>
                <w:color w:val="000000"/>
                <w:sz w:val="18"/>
                <w:szCs w:val="18"/>
                <w:lang w:val="en-GB"/>
              </w:rPr>
              <w:t>s</w:t>
            </w:r>
            <w:r w:rsidR="00A96F52" w:rsidRPr="008E781C">
              <w:rPr>
                <w:rFonts w:ascii="Century Gothic" w:hAnsi="Century Gothic" w:cs="Calibri"/>
                <w:color w:val="000000"/>
                <w:sz w:val="18"/>
                <w:szCs w:val="18"/>
                <w:lang w:val="en-GB"/>
              </w:rPr>
              <w:t xml:space="preserve"> set up)</w:t>
            </w:r>
          </w:p>
        </w:tc>
        <w:tc>
          <w:tcPr>
            <w:tcW w:w="3062" w:type="dxa"/>
            <w:shd w:val="clear" w:color="auto" w:fill="4F81BD" w:themeFill="accent1"/>
            <w:noWrap/>
            <w:hideMark/>
          </w:tcPr>
          <w:p w14:paraId="73C3967E" w14:textId="55A906AC" w:rsidR="00421BA2" w:rsidRPr="008E781C" w:rsidRDefault="00421BA2" w:rsidP="00421BA2">
            <w:pPr>
              <w:rPr>
                <w:rFonts w:ascii="Century Gothic" w:hAnsi="Century Gothic" w:cs="Calibri"/>
                <w:color w:val="000000"/>
                <w:sz w:val="18"/>
                <w:szCs w:val="18"/>
                <w:lang w:val="en-GB"/>
              </w:rPr>
            </w:pPr>
            <w:r w:rsidRPr="008E781C">
              <w:rPr>
                <w:rFonts w:ascii="Century Gothic" w:hAnsi="Century Gothic" w:cs="Calibri"/>
                <w:color w:val="000000"/>
                <w:sz w:val="18"/>
                <w:szCs w:val="18"/>
                <w:lang w:val="en-GB"/>
              </w:rPr>
              <w:t>%</w:t>
            </w:r>
            <w:r w:rsidR="00B708FD" w:rsidRPr="008E781C">
              <w:rPr>
                <w:rFonts w:ascii="Century Gothic" w:hAnsi="Century Gothic" w:cs="Calibri"/>
                <w:color w:val="000000"/>
                <w:sz w:val="18"/>
                <w:szCs w:val="18"/>
                <w:lang w:val="en-GB"/>
              </w:rPr>
              <w:t xml:space="preserve"> of the total business project investments made</w:t>
            </w:r>
          </w:p>
        </w:tc>
      </w:tr>
      <w:tr w:rsidR="00421BA2" w:rsidRPr="008E781C" w14:paraId="16A22721" w14:textId="77777777" w:rsidTr="008C791E">
        <w:trPr>
          <w:trHeight w:val="300"/>
          <w:jc w:val="center"/>
        </w:trPr>
        <w:tc>
          <w:tcPr>
            <w:tcW w:w="2117" w:type="dxa"/>
            <w:shd w:val="clear" w:color="auto" w:fill="DBE5F1" w:themeFill="accent1" w:themeFillTint="33"/>
            <w:noWrap/>
            <w:hideMark/>
          </w:tcPr>
          <w:p w14:paraId="64A43531" w14:textId="05BFDD3D" w:rsidR="00421BA2" w:rsidRPr="008E781C" w:rsidRDefault="000D010B" w:rsidP="00421BA2">
            <w:pPr>
              <w:rPr>
                <w:rFonts w:cs="Calibri"/>
                <w:color w:val="000000"/>
                <w:sz w:val="18"/>
                <w:szCs w:val="18"/>
                <w:lang w:val="en-GB"/>
              </w:rPr>
            </w:pPr>
            <w:r w:rsidRPr="008E781C">
              <w:rPr>
                <w:rFonts w:cs="Calibri"/>
                <w:color w:val="000000"/>
                <w:sz w:val="18"/>
                <w:szCs w:val="18"/>
                <w:lang w:val="en-GB"/>
              </w:rPr>
              <w:t>Iraq</w:t>
            </w:r>
          </w:p>
        </w:tc>
        <w:tc>
          <w:tcPr>
            <w:tcW w:w="3827" w:type="dxa"/>
            <w:noWrap/>
            <w:hideMark/>
          </w:tcPr>
          <w:p w14:paraId="0A99745E"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3</w:t>
            </w:r>
          </w:p>
        </w:tc>
        <w:tc>
          <w:tcPr>
            <w:tcW w:w="3062" w:type="dxa"/>
            <w:noWrap/>
            <w:hideMark/>
          </w:tcPr>
          <w:p w14:paraId="3C11EC47"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25</w:t>
            </w:r>
          </w:p>
        </w:tc>
      </w:tr>
      <w:tr w:rsidR="00421BA2" w:rsidRPr="008E781C" w14:paraId="3005BDD1" w14:textId="77777777" w:rsidTr="008C791E">
        <w:trPr>
          <w:trHeight w:val="300"/>
          <w:jc w:val="center"/>
        </w:trPr>
        <w:tc>
          <w:tcPr>
            <w:tcW w:w="2117" w:type="dxa"/>
            <w:shd w:val="clear" w:color="auto" w:fill="DBE5F1" w:themeFill="accent1" w:themeFillTint="33"/>
            <w:noWrap/>
            <w:hideMark/>
          </w:tcPr>
          <w:p w14:paraId="65C3CD77"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Egypt</w:t>
            </w:r>
          </w:p>
        </w:tc>
        <w:tc>
          <w:tcPr>
            <w:tcW w:w="3827" w:type="dxa"/>
            <w:noWrap/>
            <w:hideMark/>
          </w:tcPr>
          <w:p w14:paraId="23AE3C14"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2</w:t>
            </w:r>
          </w:p>
        </w:tc>
        <w:tc>
          <w:tcPr>
            <w:tcW w:w="3062" w:type="dxa"/>
            <w:noWrap/>
            <w:hideMark/>
          </w:tcPr>
          <w:p w14:paraId="6E4389AE" w14:textId="58F6E65C" w:rsidR="00421BA2" w:rsidRPr="008E781C" w:rsidRDefault="00421BA2" w:rsidP="00421BA2">
            <w:pPr>
              <w:rPr>
                <w:rFonts w:cs="Calibri"/>
                <w:color w:val="000000"/>
                <w:sz w:val="18"/>
                <w:szCs w:val="18"/>
                <w:lang w:val="en-GB"/>
              </w:rPr>
            </w:pPr>
            <w:r w:rsidRPr="008E781C">
              <w:rPr>
                <w:rFonts w:cs="Calibri"/>
                <w:color w:val="000000"/>
                <w:sz w:val="18"/>
                <w:szCs w:val="18"/>
                <w:lang w:val="en-GB"/>
              </w:rPr>
              <w:t>16</w:t>
            </w:r>
            <w:r w:rsidR="00A96F52" w:rsidRPr="008E781C">
              <w:rPr>
                <w:rFonts w:cs="Calibri"/>
                <w:color w:val="000000"/>
                <w:sz w:val="18"/>
                <w:szCs w:val="18"/>
                <w:lang w:val="en-GB"/>
              </w:rPr>
              <w:t>.</w:t>
            </w:r>
            <w:r w:rsidRPr="008E781C">
              <w:rPr>
                <w:rFonts w:cs="Calibri"/>
                <w:color w:val="000000"/>
                <w:sz w:val="18"/>
                <w:szCs w:val="18"/>
                <w:lang w:val="en-GB"/>
              </w:rPr>
              <w:t>7</w:t>
            </w:r>
          </w:p>
        </w:tc>
      </w:tr>
      <w:tr w:rsidR="00421BA2" w:rsidRPr="008E781C" w14:paraId="3061FB52" w14:textId="77777777" w:rsidTr="008C791E">
        <w:trPr>
          <w:trHeight w:val="300"/>
          <w:jc w:val="center"/>
        </w:trPr>
        <w:tc>
          <w:tcPr>
            <w:tcW w:w="2117" w:type="dxa"/>
            <w:shd w:val="clear" w:color="auto" w:fill="DBE5F1" w:themeFill="accent1" w:themeFillTint="33"/>
            <w:noWrap/>
            <w:hideMark/>
          </w:tcPr>
          <w:p w14:paraId="674FBA17"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China</w:t>
            </w:r>
          </w:p>
        </w:tc>
        <w:tc>
          <w:tcPr>
            <w:tcW w:w="3827" w:type="dxa"/>
            <w:noWrap/>
            <w:hideMark/>
          </w:tcPr>
          <w:p w14:paraId="78A2E2E9"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1BE80DB1" w14:textId="12F04678"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60F97C3A" w14:textId="77777777" w:rsidTr="008C791E">
        <w:trPr>
          <w:trHeight w:val="300"/>
          <w:jc w:val="center"/>
        </w:trPr>
        <w:tc>
          <w:tcPr>
            <w:tcW w:w="2117" w:type="dxa"/>
            <w:shd w:val="clear" w:color="auto" w:fill="DBE5F1" w:themeFill="accent1" w:themeFillTint="33"/>
            <w:noWrap/>
            <w:hideMark/>
          </w:tcPr>
          <w:p w14:paraId="39F33F39"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US</w:t>
            </w:r>
          </w:p>
        </w:tc>
        <w:tc>
          <w:tcPr>
            <w:tcW w:w="3827" w:type="dxa"/>
            <w:noWrap/>
            <w:hideMark/>
          </w:tcPr>
          <w:p w14:paraId="43CD3DA8"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33C3289A" w14:textId="26CC246A"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5A09B0AD" w14:textId="77777777" w:rsidTr="008C791E">
        <w:trPr>
          <w:trHeight w:val="300"/>
          <w:jc w:val="center"/>
        </w:trPr>
        <w:tc>
          <w:tcPr>
            <w:tcW w:w="2117" w:type="dxa"/>
            <w:shd w:val="clear" w:color="auto" w:fill="DBE5F1" w:themeFill="accent1" w:themeFillTint="33"/>
            <w:noWrap/>
            <w:hideMark/>
          </w:tcPr>
          <w:p w14:paraId="5E1FA691"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Russia</w:t>
            </w:r>
          </w:p>
        </w:tc>
        <w:tc>
          <w:tcPr>
            <w:tcW w:w="3827" w:type="dxa"/>
            <w:noWrap/>
            <w:hideMark/>
          </w:tcPr>
          <w:p w14:paraId="7F45FF49"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3B5F81F7" w14:textId="009DC08B"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6CA7512F" w14:textId="77777777" w:rsidTr="008C791E">
        <w:trPr>
          <w:trHeight w:val="300"/>
          <w:jc w:val="center"/>
        </w:trPr>
        <w:tc>
          <w:tcPr>
            <w:tcW w:w="2117" w:type="dxa"/>
            <w:shd w:val="clear" w:color="auto" w:fill="DBE5F1" w:themeFill="accent1" w:themeFillTint="33"/>
            <w:noWrap/>
            <w:hideMark/>
          </w:tcPr>
          <w:p w14:paraId="40CBD5C8" w14:textId="5A2670A7" w:rsidR="00421BA2" w:rsidRPr="008E781C" w:rsidRDefault="00421BA2" w:rsidP="00421BA2">
            <w:pPr>
              <w:rPr>
                <w:rFonts w:cs="Calibri"/>
                <w:color w:val="000000"/>
                <w:sz w:val="18"/>
                <w:szCs w:val="18"/>
                <w:lang w:val="en-GB"/>
              </w:rPr>
            </w:pPr>
            <w:r w:rsidRPr="008E781C">
              <w:rPr>
                <w:rFonts w:cs="Calibri"/>
                <w:color w:val="000000"/>
                <w:sz w:val="18"/>
                <w:szCs w:val="18"/>
                <w:lang w:val="en-GB"/>
              </w:rPr>
              <w:t>Philippines</w:t>
            </w:r>
          </w:p>
        </w:tc>
        <w:tc>
          <w:tcPr>
            <w:tcW w:w="3827" w:type="dxa"/>
            <w:noWrap/>
            <w:hideMark/>
          </w:tcPr>
          <w:p w14:paraId="66D539F0"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1D1C95B0" w14:textId="3EF0334B"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1AFCA0B7" w14:textId="77777777" w:rsidTr="008C791E">
        <w:trPr>
          <w:trHeight w:val="300"/>
          <w:jc w:val="center"/>
        </w:trPr>
        <w:tc>
          <w:tcPr>
            <w:tcW w:w="2117" w:type="dxa"/>
            <w:shd w:val="clear" w:color="auto" w:fill="DBE5F1" w:themeFill="accent1" w:themeFillTint="33"/>
            <w:noWrap/>
            <w:hideMark/>
          </w:tcPr>
          <w:p w14:paraId="69E26684"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India</w:t>
            </w:r>
          </w:p>
        </w:tc>
        <w:tc>
          <w:tcPr>
            <w:tcW w:w="3827" w:type="dxa"/>
            <w:noWrap/>
            <w:hideMark/>
          </w:tcPr>
          <w:p w14:paraId="2D83CC44"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34401F46" w14:textId="1FEC90D4"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67C85DC4" w14:textId="77777777" w:rsidTr="008C791E">
        <w:trPr>
          <w:trHeight w:val="300"/>
          <w:jc w:val="center"/>
        </w:trPr>
        <w:tc>
          <w:tcPr>
            <w:tcW w:w="2117" w:type="dxa"/>
            <w:shd w:val="clear" w:color="auto" w:fill="DBE5F1" w:themeFill="accent1" w:themeFillTint="33"/>
            <w:noWrap/>
            <w:hideMark/>
          </w:tcPr>
          <w:p w14:paraId="68AE4F9D"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Mexico</w:t>
            </w:r>
          </w:p>
        </w:tc>
        <w:tc>
          <w:tcPr>
            <w:tcW w:w="3827" w:type="dxa"/>
            <w:noWrap/>
            <w:hideMark/>
          </w:tcPr>
          <w:p w14:paraId="023130A7"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34241863" w14:textId="517CC605"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29C862AF" w14:textId="77777777" w:rsidTr="008C791E">
        <w:trPr>
          <w:trHeight w:val="300"/>
          <w:jc w:val="center"/>
        </w:trPr>
        <w:tc>
          <w:tcPr>
            <w:tcW w:w="2117" w:type="dxa"/>
            <w:shd w:val="clear" w:color="auto" w:fill="DBE5F1" w:themeFill="accent1" w:themeFillTint="33"/>
            <w:noWrap/>
            <w:hideMark/>
          </w:tcPr>
          <w:p w14:paraId="0CC203D8"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Uzbekistan</w:t>
            </w:r>
          </w:p>
        </w:tc>
        <w:tc>
          <w:tcPr>
            <w:tcW w:w="3827" w:type="dxa"/>
            <w:noWrap/>
            <w:hideMark/>
          </w:tcPr>
          <w:p w14:paraId="0A1A2E91" w14:textId="77777777" w:rsidR="00421BA2" w:rsidRPr="008E781C" w:rsidRDefault="00421BA2" w:rsidP="00421BA2">
            <w:pPr>
              <w:rPr>
                <w:rFonts w:cs="Calibri"/>
                <w:color w:val="000000"/>
                <w:sz w:val="18"/>
                <w:szCs w:val="18"/>
                <w:lang w:val="en-GB"/>
              </w:rPr>
            </w:pPr>
            <w:r w:rsidRPr="008E781C">
              <w:rPr>
                <w:rFonts w:cs="Calibri"/>
                <w:color w:val="000000"/>
                <w:sz w:val="18"/>
                <w:szCs w:val="18"/>
                <w:lang w:val="en-GB"/>
              </w:rPr>
              <w:t>1</w:t>
            </w:r>
          </w:p>
        </w:tc>
        <w:tc>
          <w:tcPr>
            <w:tcW w:w="3062" w:type="dxa"/>
            <w:noWrap/>
            <w:hideMark/>
          </w:tcPr>
          <w:p w14:paraId="297933E3" w14:textId="3AC57FB7" w:rsidR="00421BA2" w:rsidRPr="008E781C" w:rsidRDefault="00421BA2" w:rsidP="00421BA2">
            <w:pPr>
              <w:rPr>
                <w:rFonts w:cs="Calibri"/>
                <w:color w:val="000000"/>
                <w:sz w:val="18"/>
                <w:szCs w:val="18"/>
                <w:lang w:val="en-GB"/>
              </w:rPr>
            </w:pPr>
            <w:r w:rsidRPr="008E781C">
              <w:rPr>
                <w:rFonts w:cs="Calibri"/>
                <w:color w:val="000000"/>
                <w:sz w:val="18"/>
                <w:szCs w:val="18"/>
                <w:lang w:val="en-GB"/>
              </w:rPr>
              <w:t>8</w:t>
            </w:r>
            <w:r w:rsidR="00A96F52" w:rsidRPr="008E781C">
              <w:rPr>
                <w:rFonts w:cs="Calibri"/>
                <w:color w:val="000000"/>
                <w:sz w:val="18"/>
                <w:szCs w:val="18"/>
                <w:lang w:val="en-GB"/>
              </w:rPr>
              <w:t>.</w:t>
            </w:r>
            <w:r w:rsidRPr="008E781C">
              <w:rPr>
                <w:rFonts w:cs="Calibri"/>
                <w:color w:val="000000"/>
                <w:sz w:val="18"/>
                <w:szCs w:val="18"/>
                <w:lang w:val="en-GB"/>
              </w:rPr>
              <w:t>3</w:t>
            </w:r>
          </w:p>
        </w:tc>
      </w:tr>
      <w:tr w:rsidR="00421BA2" w:rsidRPr="008E781C" w14:paraId="1673F377" w14:textId="77777777" w:rsidTr="008C791E">
        <w:trPr>
          <w:trHeight w:val="300"/>
          <w:jc w:val="center"/>
        </w:trPr>
        <w:tc>
          <w:tcPr>
            <w:tcW w:w="2117" w:type="dxa"/>
            <w:shd w:val="clear" w:color="auto" w:fill="95B3D7" w:themeFill="accent1" w:themeFillTint="99"/>
            <w:noWrap/>
            <w:hideMark/>
          </w:tcPr>
          <w:p w14:paraId="077E978A" w14:textId="77777777" w:rsidR="00421BA2" w:rsidRPr="008E781C" w:rsidRDefault="00421BA2" w:rsidP="00421BA2">
            <w:pPr>
              <w:rPr>
                <w:rFonts w:cs="Calibri"/>
                <w:b/>
                <w:color w:val="000000"/>
                <w:sz w:val="18"/>
                <w:szCs w:val="18"/>
                <w:lang w:val="en-GB"/>
              </w:rPr>
            </w:pPr>
            <w:r w:rsidRPr="008E781C">
              <w:rPr>
                <w:rFonts w:cs="Calibri"/>
                <w:b/>
                <w:color w:val="000000"/>
                <w:sz w:val="18"/>
                <w:szCs w:val="18"/>
                <w:lang w:val="en-GB"/>
              </w:rPr>
              <w:t>Total</w:t>
            </w:r>
          </w:p>
        </w:tc>
        <w:tc>
          <w:tcPr>
            <w:tcW w:w="3827" w:type="dxa"/>
            <w:shd w:val="clear" w:color="auto" w:fill="95B3D7" w:themeFill="accent1" w:themeFillTint="99"/>
            <w:noWrap/>
            <w:hideMark/>
          </w:tcPr>
          <w:p w14:paraId="1E8832F2" w14:textId="77777777" w:rsidR="00421BA2" w:rsidRPr="008E781C" w:rsidRDefault="00421BA2" w:rsidP="00421BA2">
            <w:pPr>
              <w:rPr>
                <w:rFonts w:cs="Calibri"/>
                <w:b/>
                <w:color w:val="000000"/>
                <w:sz w:val="18"/>
                <w:szCs w:val="18"/>
                <w:lang w:val="en-GB"/>
              </w:rPr>
            </w:pPr>
            <w:r w:rsidRPr="008E781C">
              <w:rPr>
                <w:rFonts w:cs="Calibri"/>
                <w:b/>
                <w:color w:val="000000"/>
                <w:sz w:val="18"/>
                <w:szCs w:val="18"/>
                <w:lang w:val="en-GB"/>
              </w:rPr>
              <w:t>12</w:t>
            </w:r>
          </w:p>
        </w:tc>
        <w:tc>
          <w:tcPr>
            <w:tcW w:w="3062" w:type="dxa"/>
            <w:shd w:val="clear" w:color="auto" w:fill="95B3D7" w:themeFill="accent1" w:themeFillTint="99"/>
            <w:noWrap/>
            <w:hideMark/>
          </w:tcPr>
          <w:p w14:paraId="6A172F06" w14:textId="77777777" w:rsidR="00421BA2" w:rsidRPr="008E781C" w:rsidRDefault="00421BA2" w:rsidP="00421BA2">
            <w:pPr>
              <w:rPr>
                <w:rFonts w:cs="Calibri"/>
                <w:b/>
                <w:color w:val="000000"/>
                <w:sz w:val="18"/>
                <w:szCs w:val="18"/>
                <w:lang w:val="en-GB"/>
              </w:rPr>
            </w:pPr>
            <w:r w:rsidRPr="008E781C">
              <w:rPr>
                <w:rFonts w:cs="Calibri"/>
                <w:b/>
                <w:color w:val="000000"/>
                <w:sz w:val="18"/>
                <w:szCs w:val="18"/>
                <w:lang w:val="en-GB"/>
              </w:rPr>
              <w:t>100</w:t>
            </w:r>
          </w:p>
        </w:tc>
      </w:tr>
    </w:tbl>
    <w:p w14:paraId="4D1841FB" w14:textId="77777777" w:rsidR="00421BA2" w:rsidRPr="008E781C" w:rsidRDefault="00421BA2" w:rsidP="00421BA2">
      <w:pPr>
        <w:pStyle w:val="MBT"/>
        <w:rPr>
          <w:color w:val="000000" w:themeColor="text1"/>
          <w:lang w:val="en-GB"/>
        </w:rPr>
      </w:pPr>
    </w:p>
    <w:p w14:paraId="0CC2D6A6" w14:textId="77777777" w:rsidR="005370CE" w:rsidRPr="008E781C" w:rsidRDefault="005370CE" w:rsidP="002636C6">
      <w:pPr>
        <w:pStyle w:val="MBT"/>
        <w:rPr>
          <w:i/>
          <w:color w:val="FF0000"/>
          <w:lang w:val="en-GB"/>
        </w:rPr>
      </w:pPr>
    </w:p>
    <w:p w14:paraId="690D14DD" w14:textId="65851F65" w:rsidR="003B25FE" w:rsidRPr="008E781C" w:rsidRDefault="003B25FE" w:rsidP="003B25FE">
      <w:pPr>
        <w:pStyle w:val="MH2"/>
        <w:spacing w:after="0"/>
        <w:outlineLvl w:val="9"/>
      </w:pPr>
      <w:bookmarkStart w:id="18" w:name="_Toc379109061"/>
      <w:r w:rsidRPr="008E781C">
        <w:t>Information on applications by family Members</w:t>
      </w:r>
      <w:bookmarkEnd w:id="18"/>
    </w:p>
    <w:p w14:paraId="3F124AC5" w14:textId="7E42490A" w:rsidR="001E281D" w:rsidRPr="008E781C" w:rsidRDefault="001E281D" w:rsidP="001E281D">
      <w:pPr>
        <w:pStyle w:val="MBT"/>
        <w:rPr>
          <w:lang w:val="en-GB"/>
        </w:rPr>
      </w:pPr>
    </w:p>
    <w:p w14:paraId="38B3442D" w14:textId="0D3DCC8A" w:rsidR="00F564B0" w:rsidRPr="008E781C" w:rsidRDefault="00F564B0" w:rsidP="00744DAD">
      <w:pPr>
        <w:pStyle w:val="MMultilevel"/>
        <w:numPr>
          <w:ilvl w:val="0"/>
          <w:numId w:val="0"/>
        </w:numPr>
        <w:rPr>
          <w:lang w:val="en-GB"/>
        </w:rPr>
      </w:pPr>
      <w:r w:rsidRPr="008E781C">
        <w:rPr>
          <w:lang w:val="en-GB"/>
        </w:rPr>
        <w:t>Law 14/2013 prescribes that t</w:t>
      </w:r>
      <w:r w:rsidR="00744DAD" w:rsidRPr="008E781C">
        <w:rPr>
          <w:lang w:val="en-GB"/>
        </w:rPr>
        <w:t xml:space="preserve">he </w:t>
      </w:r>
      <w:r w:rsidR="002C53F7" w:rsidRPr="008E781C">
        <w:rPr>
          <w:lang w:val="en-GB"/>
        </w:rPr>
        <w:t>following</w:t>
      </w:r>
      <w:r w:rsidR="00744DAD" w:rsidRPr="008E781C">
        <w:rPr>
          <w:lang w:val="en-GB"/>
        </w:rPr>
        <w:t xml:space="preserve"> </w:t>
      </w:r>
      <w:r w:rsidR="00744DAD" w:rsidRPr="008E781C">
        <w:rPr>
          <w:b/>
          <w:lang w:val="en-GB"/>
        </w:rPr>
        <w:t>family members</w:t>
      </w:r>
      <w:r w:rsidR="002C53F7" w:rsidRPr="008E781C">
        <w:rPr>
          <w:lang w:val="en-GB"/>
        </w:rPr>
        <w:t xml:space="preserve"> </w:t>
      </w:r>
      <w:r w:rsidRPr="008E781C">
        <w:rPr>
          <w:lang w:val="en-GB"/>
        </w:rPr>
        <w:t>accompanying</w:t>
      </w:r>
      <w:r w:rsidR="000D010B" w:rsidRPr="008E781C">
        <w:rPr>
          <w:lang w:val="en-GB"/>
        </w:rPr>
        <w:t xml:space="preserve"> or joining</w:t>
      </w:r>
      <w:r w:rsidRPr="008E781C">
        <w:rPr>
          <w:lang w:val="en-GB"/>
        </w:rPr>
        <w:t xml:space="preserve"> the investor </w:t>
      </w:r>
      <w:r w:rsidR="002C53F7" w:rsidRPr="008E781C">
        <w:rPr>
          <w:lang w:val="en-GB"/>
        </w:rPr>
        <w:t xml:space="preserve">can also </w:t>
      </w:r>
      <w:r w:rsidR="002C53F7" w:rsidRPr="008E781C">
        <w:rPr>
          <w:b/>
          <w:lang w:val="en-GB"/>
        </w:rPr>
        <w:t xml:space="preserve">request the </w:t>
      </w:r>
      <w:r w:rsidRPr="008E781C">
        <w:rPr>
          <w:b/>
          <w:lang w:val="en-GB"/>
        </w:rPr>
        <w:t>residence authorisation</w:t>
      </w:r>
      <w:r w:rsidRPr="008E781C">
        <w:rPr>
          <w:lang w:val="en-GB"/>
        </w:rPr>
        <w:t xml:space="preserve"> and, if applicable, the corresponding </w:t>
      </w:r>
      <w:r w:rsidRPr="008E781C">
        <w:rPr>
          <w:b/>
          <w:lang w:val="en-GB"/>
        </w:rPr>
        <w:t>visa</w:t>
      </w:r>
      <w:r w:rsidRPr="008E781C">
        <w:rPr>
          <w:lang w:val="en-GB"/>
        </w:rPr>
        <w:t>:</w:t>
      </w:r>
      <w:r w:rsidR="002C53F7" w:rsidRPr="008E781C">
        <w:rPr>
          <w:rStyle w:val="FootnoteReference"/>
          <w:lang w:val="en-GB"/>
        </w:rPr>
        <w:footnoteReference w:id="148"/>
      </w:r>
    </w:p>
    <w:p w14:paraId="1A45579B" w14:textId="16DC74FF" w:rsidR="00F564B0" w:rsidRPr="008E781C" w:rsidRDefault="00744DAD" w:rsidP="00EA43F7">
      <w:pPr>
        <w:pStyle w:val="MMultilevel"/>
        <w:numPr>
          <w:ilvl w:val="0"/>
          <w:numId w:val="51"/>
        </w:numPr>
        <w:ind w:left="364"/>
        <w:rPr>
          <w:lang w:val="en-GB"/>
        </w:rPr>
      </w:pPr>
      <w:r w:rsidRPr="008E781C">
        <w:rPr>
          <w:lang w:val="en-GB"/>
        </w:rPr>
        <w:t xml:space="preserve">the spouse or person with a similar relation </w:t>
      </w:r>
      <w:r w:rsidR="00F564B0" w:rsidRPr="008E781C">
        <w:rPr>
          <w:lang w:val="en-GB"/>
        </w:rPr>
        <w:t>(</w:t>
      </w:r>
      <w:r w:rsidR="00F564B0" w:rsidRPr="008E781C">
        <w:rPr>
          <w:i/>
          <w:lang w:val="en-GB"/>
        </w:rPr>
        <w:t>relación análoga de afectividad</w:t>
      </w:r>
      <w:r w:rsidR="00F564B0" w:rsidRPr="008E781C">
        <w:rPr>
          <w:lang w:val="en-GB"/>
        </w:rPr>
        <w:t>) which exists when it is included in a public register established for that matter or, if not registered, it is proved</w:t>
      </w:r>
      <w:r w:rsidR="000D010B" w:rsidRPr="008E781C">
        <w:rPr>
          <w:lang w:val="en-GB"/>
        </w:rPr>
        <w:t>;</w:t>
      </w:r>
      <w:r w:rsidR="00F564B0" w:rsidRPr="008E781C">
        <w:rPr>
          <w:rStyle w:val="FootnoteReference"/>
          <w:lang w:val="en-GB"/>
        </w:rPr>
        <w:footnoteReference w:id="149"/>
      </w:r>
      <w:r w:rsidR="00F564B0" w:rsidRPr="008E781C">
        <w:rPr>
          <w:lang w:val="en-GB"/>
        </w:rPr>
        <w:t xml:space="preserve"> </w:t>
      </w:r>
    </w:p>
    <w:p w14:paraId="2AF35857" w14:textId="22810A38" w:rsidR="003D7B6F" w:rsidRPr="008E781C" w:rsidRDefault="00744DAD" w:rsidP="00EA43F7">
      <w:pPr>
        <w:pStyle w:val="MMultilevel"/>
        <w:numPr>
          <w:ilvl w:val="0"/>
          <w:numId w:val="51"/>
        </w:numPr>
        <w:ind w:left="364"/>
        <w:rPr>
          <w:lang w:val="en-GB"/>
        </w:rPr>
      </w:pPr>
      <w:r w:rsidRPr="008E781C">
        <w:rPr>
          <w:lang w:val="en-GB"/>
        </w:rPr>
        <w:t>children under 18 or above</w:t>
      </w:r>
      <w:r w:rsidR="003D7B6F" w:rsidRPr="008E781C">
        <w:rPr>
          <w:lang w:val="en-GB"/>
        </w:rPr>
        <w:t xml:space="preserve"> that age</w:t>
      </w:r>
      <w:r w:rsidRPr="008E781C">
        <w:rPr>
          <w:lang w:val="en-GB"/>
        </w:rPr>
        <w:t xml:space="preserve"> </w:t>
      </w:r>
      <w:r w:rsidR="003D7B6F" w:rsidRPr="008E781C">
        <w:rPr>
          <w:lang w:val="en-GB"/>
        </w:rPr>
        <w:t xml:space="preserve">who depend economically </w:t>
      </w:r>
      <w:r w:rsidR="000D010B" w:rsidRPr="008E781C">
        <w:rPr>
          <w:lang w:val="en-GB"/>
        </w:rPr>
        <w:t xml:space="preserve">on </w:t>
      </w:r>
      <w:r w:rsidR="003D7B6F" w:rsidRPr="008E781C">
        <w:rPr>
          <w:lang w:val="en-GB"/>
        </w:rPr>
        <w:t xml:space="preserve">the investor and </w:t>
      </w:r>
      <w:r w:rsidR="00344015" w:rsidRPr="008E781C">
        <w:rPr>
          <w:lang w:val="en-GB"/>
        </w:rPr>
        <w:t xml:space="preserve">who </w:t>
      </w:r>
      <w:r w:rsidR="003D7B6F" w:rsidRPr="008E781C">
        <w:rPr>
          <w:lang w:val="en-GB"/>
        </w:rPr>
        <w:t>have not formed their own family unit; and</w:t>
      </w:r>
    </w:p>
    <w:p w14:paraId="7B806052" w14:textId="37357CD0" w:rsidR="00F564B0" w:rsidRPr="008E781C" w:rsidRDefault="003D7B6F" w:rsidP="00EA43F7">
      <w:pPr>
        <w:pStyle w:val="MMultilevel"/>
        <w:numPr>
          <w:ilvl w:val="0"/>
          <w:numId w:val="51"/>
        </w:numPr>
        <w:ind w:left="364"/>
        <w:rPr>
          <w:lang w:val="en-GB"/>
        </w:rPr>
      </w:pPr>
      <w:r w:rsidRPr="008E781C">
        <w:rPr>
          <w:lang w:val="en-GB"/>
        </w:rPr>
        <w:t>dependent ascendants</w:t>
      </w:r>
      <w:r w:rsidRPr="008E781C">
        <w:rPr>
          <w:rStyle w:val="FootnoteReference"/>
          <w:lang w:val="en-GB"/>
        </w:rPr>
        <w:footnoteReference w:id="150"/>
      </w:r>
    </w:p>
    <w:p w14:paraId="11AD54FE" w14:textId="77777777" w:rsidR="00F564B0" w:rsidRPr="008E781C" w:rsidRDefault="00F564B0" w:rsidP="005370CE">
      <w:pPr>
        <w:pStyle w:val="MMultilevel"/>
        <w:numPr>
          <w:ilvl w:val="0"/>
          <w:numId w:val="0"/>
        </w:numPr>
        <w:ind w:left="720"/>
        <w:rPr>
          <w:lang w:val="en-GB"/>
        </w:rPr>
      </w:pPr>
    </w:p>
    <w:p w14:paraId="4420624F" w14:textId="77777777" w:rsidR="00344015" w:rsidRPr="008E781C" w:rsidRDefault="003D7B6F">
      <w:pPr>
        <w:pStyle w:val="MMultilevel"/>
        <w:numPr>
          <w:ilvl w:val="0"/>
          <w:numId w:val="0"/>
        </w:numPr>
        <w:rPr>
          <w:lang w:val="en-GB"/>
        </w:rPr>
      </w:pPr>
      <w:r w:rsidRPr="008E781C">
        <w:rPr>
          <w:lang w:val="en-GB"/>
        </w:rPr>
        <w:t>Investors’ family members</w:t>
      </w:r>
      <w:r w:rsidR="00744DAD" w:rsidRPr="008E781C">
        <w:rPr>
          <w:lang w:val="en-GB"/>
        </w:rPr>
        <w:t xml:space="preserve"> can </w:t>
      </w:r>
      <w:r w:rsidR="00744DAD" w:rsidRPr="008E781C">
        <w:rPr>
          <w:b/>
          <w:lang w:val="en-GB"/>
        </w:rPr>
        <w:t>apply</w:t>
      </w:r>
      <w:r w:rsidR="00744DAD" w:rsidRPr="008E781C">
        <w:rPr>
          <w:lang w:val="en-GB"/>
        </w:rPr>
        <w:t xml:space="preserve"> by themselves, </w:t>
      </w:r>
      <w:r w:rsidR="00744DAD" w:rsidRPr="008E781C">
        <w:rPr>
          <w:b/>
          <w:lang w:val="en-GB"/>
        </w:rPr>
        <w:t>in group</w:t>
      </w:r>
      <w:r w:rsidR="001B5536" w:rsidRPr="008E781C">
        <w:rPr>
          <w:lang w:val="en-GB"/>
        </w:rPr>
        <w:t xml:space="preserve"> (if more than one family member is requesting the visa, for example, in the case of reunification of the whole family unit, including ascendants)</w:t>
      </w:r>
      <w:r w:rsidRPr="008E781C">
        <w:rPr>
          <w:lang w:val="en-GB"/>
        </w:rPr>
        <w:t>,</w:t>
      </w:r>
      <w:r w:rsidR="00744DAD" w:rsidRPr="008E781C">
        <w:rPr>
          <w:lang w:val="en-GB"/>
        </w:rPr>
        <w:t xml:space="preserve"> and </w:t>
      </w:r>
      <w:r w:rsidR="00744DAD" w:rsidRPr="008E781C">
        <w:rPr>
          <w:b/>
          <w:lang w:val="en-GB"/>
        </w:rPr>
        <w:t>simultaneously or successively</w:t>
      </w:r>
      <w:r w:rsidRPr="008E781C">
        <w:rPr>
          <w:b/>
          <w:lang w:val="en-GB"/>
        </w:rPr>
        <w:t xml:space="preserve"> to the application filed by the foreign investor</w:t>
      </w:r>
      <w:r w:rsidRPr="008E781C">
        <w:rPr>
          <w:lang w:val="en-GB"/>
        </w:rPr>
        <w:t xml:space="preserve"> for a</w:t>
      </w:r>
      <w:r w:rsidR="001B5536" w:rsidRPr="008E781C">
        <w:rPr>
          <w:lang w:val="en-GB"/>
        </w:rPr>
        <w:t>n investors’</w:t>
      </w:r>
      <w:r w:rsidRPr="008E781C">
        <w:rPr>
          <w:lang w:val="en-GB"/>
        </w:rPr>
        <w:t xml:space="preserve"> residence visa and residence authorisation</w:t>
      </w:r>
      <w:r w:rsidR="00744DAD" w:rsidRPr="008E781C">
        <w:rPr>
          <w:lang w:val="en-GB"/>
        </w:rPr>
        <w:t xml:space="preserve">. </w:t>
      </w:r>
    </w:p>
    <w:p w14:paraId="2305CA87" w14:textId="77777777" w:rsidR="00344015" w:rsidRPr="008E781C" w:rsidRDefault="00344015">
      <w:pPr>
        <w:pStyle w:val="MMultilevel"/>
        <w:numPr>
          <w:ilvl w:val="0"/>
          <w:numId w:val="0"/>
        </w:numPr>
        <w:rPr>
          <w:lang w:val="en-GB"/>
        </w:rPr>
      </w:pPr>
    </w:p>
    <w:p w14:paraId="772E97BB" w14:textId="4B71C6EE" w:rsidR="00744DAD" w:rsidRPr="008E781C" w:rsidRDefault="001B5536">
      <w:pPr>
        <w:pStyle w:val="MMultilevel"/>
        <w:numPr>
          <w:ilvl w:val="0"/>
          <w:numId w:val="0"/>
        </w:numPr>
        <w:rPr>
          <w:lang w:val="en-GB"/>
        </w:rPr>
      </w:pPr>
      <w:r w:rsidRPr="008E781C">
        <w:rPr>
          <w:lang w:val="en-GB"/>
        </w:rPr>
        <w:lastRenderedPageBreak/>
        <w:t>Family members</w:t>
      </w:r>
      <w:r w:rsidR="00744DAD" w:rsidRPr="008E781C">
        <w:rPr>
          <w:lang w:val="en-GB"/>
        </w:rPr>
        <w:t xml:space="preserve"> must </w:t>
      </w:r>
      <w:r w:rsidRPr="008E781C">
        <w:rPr>
          <w:lang w:val="en-GB"/>
        </w:rPr>
        <w:t>fulfil</w:t>
      </w:r>
      <w:r w:rsidR="00744DAD" w:rsidRPr="008E781C">
        <w:rPr>
          <w:lang w:val="en-GB"/>
        </w:rPr>
        <w:t xml:space="preserve"> the same </w:t>
      </w:r>
      <w:r w:rsidR="00744DAD" w:rsidRPr="008E781C">
        <w:rPr>
          <w:b/>
          <w:lang w:val="en-GB"/>
        </w:rPr>
        <w:t>general criteria</w:t>
      </w:r>
      <w:r w:rsidR="00744DAD" w:rsidRPr="008E781C">
        <w:rPr>
          <w:lang w:val="en-GB"/>
        </w:rPr>
        <w:t xml:space="preserve"> stated above</w:t>
      </w:r>
      <w:r w:rsidRPr="008E781C">
        <w:rPr>
          <w:lang w:val="en-GB"/>
        </w:rPr>
        <w:t xml:space="preserve"> regarding the issuance of the investors’ residence </w:t>
      </w:r>
      <w:r w:rsidR="00344015" w:rsidRPr="008E781C">
        <w:rPr>
          <w:lang w:val="en-GB"/>
        </w:rPr>
        <w:t>permit</w:t>
      </w:r>
      <w:r w:rsidRPr="008E781C">
        <w:rPr>
          <w:lang w:val="en-GB"/>
        </w:rPr>
        <w:t>,</w:t>
      </w:r>
      <w:r w:rsidR="00744DAD" w:rsidRPr="008E781C">
        <w:rPr>
          <w:rStyle w:val="FootnoteReference"/>
          <w:lang w:val="en-GB"/>
        </w:rPr>
        <w:footnoteReference w:id="151"/>
      </w:r>
      <w:r w:rsidR="00744DAD" w:rsidRPr="008E781C">
        <w:rPr>
          <w:lang w:val="en-GB"/>
        </w:rPr>
        <w:t xml:space="preserve"> except</w:t>
      </w:r>
      <w:r w:rsidRPr="008E781C">
        <w:rPr>
          <w:lang w:val="en-GB"/>
        </w:rPr>
        <w:t xml:space="preserve"> for</w:t>
      </w:r>
      <w:r w:rsidR="00744DAD" w:rsidRPr="008E781C">
        <w:rPr>
          <w:lang w:val="en-GB"/>
        </w:rPr>
        <w:t xml:space="preserve"> the requirement on</w:t>
      </w:r>
      <w:r w:rsidRPr="008E781C">
        <w:rPr>
          <w:lang w:val="en-GB"/>
        </w:rPr>
        <w:t xml:space="preserve"> proving sufficient</w:t>
      </w:r>
      <w:r w:rsidR="00744DAD" w:rsidRPr="008E781C">
        <w:rPr>
          <w:lang w:val="en-GB"/>
        </w:rPr>
        <w:t xml:space="preserve"> economic resources and, in the case of minors, </w:t>
      </w:r>
      <w:r w:rsidRPr="008E781C">
        <w:rPr>
          <w:lang w:val="en-GB"/>
        </w:rPr>
        <w:t>having a clean</w:t>
      </w:r>
      <w:r w:rsidR="00744DAD" w:rsidRPr="008E781C">
        <w:rPr>
          <w:lang w:val="en-GB"/>
        </w:rPr>
        <w:t xml:space="preserve"> criminal record</w:t>
      </w:r>
      <w:r w:rsidRPr="008E781C">
        <w:rPr>
          <w:lang w:val="en-GB"/>
        </w:rPr>
        <w:t>.</w:t>
      </w:r>
      <w:r w:rsidR="00744DAD" w:rsidRPr="008E781C">
        <w:rPr>
          <w:rStyle w:val="FootnoteReference"/>
          <w:lang w:val="en-GB"/>
        </w:rPr>
        <w:footnoteReference w:id="152"/>
      </w:r>
      <w:r w:rsidR="00744DAD" w:rsidRPr="008E781C">
        <w:rPr>
          <w:lang w:val="en-GB"/>
        </w:rPr>
        <w:t xml:space="preserve"> </w:t>
      </w:r>
    </w:p>
    <w:p w14:paraId="517FE375" w14:textId="77777777" w:rsidR="00744DAD" w:rsidRPr="008E781C" w:rsidRDefault="00744DAD" w:rsidP="00744DAD">
      <w:pPr>
        <w:pStyle w:val="MMultilevel"/>
        <w:numPr>
          <w:ilvl w:val="0"/>
          <w:numId w:val="0"/>
        </w:numPr>
        <w:rPr>
          <w:lang w:val="en-GB"/>
        </w:rPr>
      </w:pPr>
    </w:p>
    <w:p w14:paraId="3245E987" w14:textId="56BEF10B" w:rsidR="00744DAD" w:rsidRPr="008E781C" w:rsidRDefault="00744DAD" w:rsidP="00744DAD">
      <w:pPr>
        <w:pStyle w:val="MMultilevel"/>
        <w:numPr>
          <w:ilvl w:val="0"/>
          <w:numId w:val="0"/>
        </w:numPr>
        <w:rPr>
          <w:lang w:val="en-GB"/>
        </w:rPr>
      </w:pPr>
      <w:r w:rsidRPr="008E781C">
        <w:rPr>
          <w:lang w:val="en-GB"/>
        </w:rPr>
        <w:t>Once the foreigner has all the necessary documents</w:t>
      </w:r>
      <w:r w:rsidR="001B5536" w:rsidRPr="008E781C">
        <w:rPr>
          <w:lang w:val="en-GB"/>
        </w:rPr>
        <w:t xml:space="preserve"> to support the application</w:t>
      </w:r>
      <w:r w:rsidRPr="008E781C">
        <w:rPr>
          <w:lang w:val="en-GB"/>
        </w:rPr>
        <w:t xml:space="preserve">, </w:t>
      </w:r>
      <w:r w:rsidR="001B5536" w:rsidRPr="008E781C">
        <w:rPr>
          <w:lang w:val="en-GB"/>
        </w:rPr>
        <w:t>s/</w:t>
      </w:r>
      <w:r w:rsidRPr="008E781C">
        <w:rPr>
          <w:lang w:val="en-GB"/>
        </w:rPr>
        <w:t xml:space="preserve">he will go </w:t>
      </w:r>
      <w:r w:rsidRPr="008E781C">
        <w:rPr>
          <w:b/>
          <w:lang w:val="en-GB"/>
        </w:rPr>
        <w:t>in person</w:t>
      </w:r>
      <w:r w:rsidRPr="008E781C">
        <w:rPr>
          <w:lang w:val="en-GB"/>
        </w:rPr>
        <w:t xml:space="preserve"> to the </w:t>
      </w:r>
      <w:r w:rsidRPr="008E781C">
        <w:rPr>
          <w:b/>
          <w:lang w:val="en-GB"/>
        </w:rPr>
        <w:t>authorised border crossing</w:t>
      </w:r>
      <w:r w:rsidRPr="008E781C">
        <w:rPr>
          <w:lang w:val="en-GB"/>
        </w:rPr>
        <w:t xml:space="preserve"> and prove that they fulfil the requirements described above.</w:t>
      </w:r>
      <w:r w:rsidRPr="008E781C">
        <w:rPr>
          <w:rStyle w:val="FootnoteReference"/>
          <w:lang w:val="en-GB"/>
        </w:rPr>
        <w:footnoteReference w:id="153"/>
      </w:r>
      <w:r w:rsidRPr="008E781C">
        <w:rPr>
          <w:lang w:val="en-GB"/>
        </w:rPr>
        <w:t xml:space="preserve"> If the competent authorities consider the presented documentation to </w:t>
      </w:r>
      <w:r w:rsidR="000D010B" w:rsidRPr="008E781C">
        <w:rPr>
          <w:lang w:val="en-GB"/>
        </w:rPr>
        <w:t>comply</w:t>
      </w:r>
      <w:r w:rsidRPr="008E781C">
        <w:rPr>
          <w:lang w:val="en-GB"/>
        </w:rPr>
        <w:t xml:space="preserve"> with the legal provisions and that there is no prohibition or impediment </w:t>
      </w:r>
      <w:r w:rsidR="000D010B" w:rsidRPr="008E781C">
        <w:rPr>
          <w:lang w:val="en-GB"/>
        </w:rPr>
        <w:t>on the entry</w:t>
      </w:r>
      <w:r w:rsidRPr="008E781C">
        <w:rPr>
          <w:lang w:val="en-GB"/>
        </w:rPr>
        <w:t xml:space="preserve"> of the holder of the documentation in the Spanish territory, the passport or travel document will be stamped (where applicable) and the foreigner </w:t>
      </w:r>
      <w:r w:rsidR="000D010B" w:rsidRPr="008E781C">
        <w:rPr>
          <w:lang w:val="en-GB"/>
        </w:rPr>
        <w:t>will be</w:t>
      </w:r>
      <w:r w:rsidRPr="008E781C">
        <w:rPr>
          <w:lang w:val="en-GB"/>
        </w:rPr>
        <w:t xml:space="preserve"> allowed to enter the Spanish territory.</w:t>
      </w:r>
      <w:r w:rsidRPr="008E781C">
        <w:rPr>
          <w:rStyle w:val="FootnoteReference"/>
          <w:lang w:val="en-GB"/>
        </w:rPr>
        <w:footnoteReference w:id="154"/>
      </w:r>
    </w:p>
    <w:p w14:paraId="772858E8" w14:textId="6A23E947" w:rsidR="001B5536" w:rsidRPr="008E781C" w:rsidRDefault="001B5536" w:rsidP="00744DAD">
      <w:pPr>
        <w:pStyle w:val="MMultilevel"/>
        <w:numPr>
          <w:ilvl w:val="0"/>
          <w:numId w:val="0"/>
        </w:numPr>
        <w:rPr>
          <w:lang w:val="en-GB"/>
        </w:rPr>
      </w:pPr>
    </w:p>
    <w:p w14:paraId="7EB94B51" w14:textId="1E142A8E" w:rsidR="001B5536" w:rsidRPr="008E781C" w:rsidRDefault="001B5536" w:rsidP="00744DAD">
      <w:pPr>
        <w:pStyle w:val="MMultilevel"/>
        <w:numPr>
          <w:ilvl w:val="0"/>
          <w:numId w:val="0"/>
        </w:numPr>
        <w:rPr>
          <w:lang w:val="en-GB"/>
        </w:rPr>
      </w:pPr>
      <w:r w:rsidRPr="008E781C">
        <w:rPr>
          <w:lang w:val="en-GB"/>
        </w:rPr>
        <w:t>Since the application for an investors’ residence authorisation is processed following the Single Permit Directive (2011/98/EU)</w:t>
      </w:r>
      <w:r w:rsidR="00DC7ED0" w:rsidRPr="008E781C">
        <w:rPr>
          <w:rStyle w:val="FootnoteReference"/>
          <w:lang w:val="en-GB"/>
        </w:rPr>
        <w:footnoteReference w:id="155"/>
      </w:r>
      <w:r w:rsidRPr="008E781C">
        <w:rPr>
          <w:lang w:val="en-GB"/>
        </w:rPr>
        <w:t xml:space="preserve"> and family members can present their applications together with the</w:t>
      </w:r>
      <w:r w:rsidR="00DC7ED0" w:rsidRPr="008E781C">
        <w:rPr>
          <w:lang w:val="en-GB"/>
        </w:rPr>
        <w:t xml:space="preserve"> investor,</w:t>
      </w:r>
      <w:r w:rsidR="00DC7ED0" w:rsidRPr="008E781C">
        <w:rPr>
          <w:rStyle w:val="FootnoteReference"/>
          <w:lang w:val="en-GB"/>
        </w:rPr>
        <w:footnoteReference w:id="156"/>
      </w:r>
      <w:r w:rsidR="00DC7ED0" w:rsidRPr="008E781C">
        <w:rPr>
          <w:lang w:val="en-GB"/>
        </w:rPr>
        <w:t xml:space="preserve"> such applications will be processed in a single procedure (explained above in Section II.1) and issued at the same time.</w:t>
      </w:r>
    </w:p>
    <w:p w14:paraId="46469EF5" w14:textId="1E4D0A2D" w:rsidR="00DC7ED0" w:rsidRPr="008E781C" w:rsidRDefault="00DC7ED0" w:rsidP="001E281D">
      <w:pPr>
        <w:pStyle w:val="MBT"/>
        <w:rPr>
          <w:lang w:val="en-GB"/>
        </w:rPr>
      </w:pPr>
    </w:p>
    <w:p w14:paraId="0C8C2CC7" w14:textId="29C4675C" w:rsidR="00DC7ED0" w:rsidRPr="008E781C" w:rsidRDefault="00DC7ED0" w:rsidP="001E281D">
      <w:pPr>
        <w:pStyle w:val="MBT"/>
        <w:rPr>
          <w:lang w:val="en-GB"/>
        </w:rPr>
      </w:pPr>
      <w:r w:rsidRPr="008E781C">
        <w:rPr>
          <w:color w:val="000000" w:themeColor="text1"/>
          <w:lang w:val="en-GB"/>
        </w:rPr>
        <w:t>The 2015 Report of the MESS on the implementation of Law 14/2013</w:t>
      </w:r>
      <w:r w:rsidR="00BB47C3" w:rsidRPr="008E781C">
        <w:rPr>
          <w:rStyle w:val="FootnoteReference"/>
          <w:color w:val="000000" w:themeColor="text1"/>
          <w:lang w:val="en-GB"/>
        </w:rPr>
        <w:footnoteReference w:id="157"/>
      </w:r>
      <w:r w:rsidRPr="008E781C">
        <w:rPr>
          <w:color w:val="000000" w:themeColor="text1"/>
          <w:lang w:val="en-GB"/>
        </w:rPr>
        <w:t xml:space="preserve"> as regards international mobility </w:t>
      </w:r>
      <w:r w:rsidR="000D010B" w:rsidRPr="008E781C">
        <w:rPr>
          <w:color w:val="000000" w:themeColor="text1"/>
          <w:lang w:val="en-GB"/>
        </w:rPr>
        <w:t xml:space="preserve">states </w:t>
      </w:r>
      <w:r w:rsidRPr="008E781C">
        <w:rPr>
          <w:color w:val="000000" w:themeColor="text1"/>
          <w:lang w:val="en-GB"/>
        </w:rPr>
        <w:t>that, in the reporting period (30 September 2013 - 31 December 2014), 2,461 permits (including both authorisations and visas) were granted to family members. However, the data covers in general the family members of all individuals covered by Law 14/2013 as regards international mobility (i.e. investors, entrepreneurs, highly qualified professionals</w:t>
      </w:r>
      <w:r w:rsidR="00BB47C3" w:rsidRPr="008E781C">
        <w:rPr>
          <w:color w:val="000000" w:themeColor="text1"/>
          <w:lang w:val="en-GB"/>
        </w:rPr>
        <w:t>, researchers and intra-corporate transfer</w:t>
      </w:r>
      <w:r w:rsidR="00344015" w:rsidRPr="008E781C">
        <w:rPr>
          <w:color w:val="000000" w:themeColor="text1"/>
          <w:lang w:val="en-GB"/>
        </w:rPr>
        <w:t>ee</w:t>
      </w:r>
      <w:r w:rsidR="00BB47C3" w:rsidRPr="008E781C">
        <w:rPr>
          <w:color w:val="000000" w:themeColor="text1"/>
          <w:lang w:val="en-GB"/>
        </w:rPr>
        <w:t>s) and</w:t>
      </w:r>
      <w:r w:rsidRPr="008E781C">
        <w:rPr>
          <w:color w:val="000000" w:themeColor="text1"/>
          <w:lang w:val="en-GB"/>
        </w:rPr>
        <w:t xml:space="preserve"> is not disaggregated.</w:t>
      </w:r>
      <w:r w:rsidR="00BB47C3" w:rsidRPr="008E781C">
        <w:rPr>
          <w:color w:val="000000" w:themeColor="text1"/>
          <w:lang w:val="en-GB"/>
        </w:rPr>
        <w:t xml:space="preserve"> Therefore, it is impossible to know the </w:t>
      </w:r>
      <w:r w:rsidR="000D010B" w:rsidRPr="008E781C">
        <w:rPr>
          <w:color w:val="000000" w:themeColor="text1"/>
          <w:lang w:val="en-GB"/>
        </w:rPr>
        <w:t xml:space="preserve">number </w:t>
      </w:r>
      <w:r w:rsidR="00BB47C3" w:rsidRPr="008E781C">
        <w:rPr>
          <w:color w:val="000000" w:themeColor="text1"/>
          <w:lang w:val="en-GB"/>
        </w:rPr>
        <w:t>of applications that were filed by investors’ family members and, thus, the number of successful and rejected applications.</w:t>
      </w:r>
    </w:p>
    <w:p w14:paraId="79CDECD2" w14:textId="4F33A22E" w:rsidR="003B25FE" w:rsidRPr="008E781C" w:rsidRDefault="003B25FE" w:rsidP="002636C6">
      <w:pPr>
        <w:pStyle w:val="MBT"/>
        <w:rPr>
          <w:i/>
          <w:color w:val="FF0000"/>
          <w:lang w:val="en-GB"/>
        </w:rPr>
        <w:sectPr w:rsidR="003B25FE" w:rsidRPr="008E781C" w:rsidSect="00204BA5">
          <w:headerReference w:type="default" r:id="rId21"/>
          <w:footerReference w:type="default" r:id="rId22"/>
          <w:pgSz w:w="11906" w:h="16838"/>
          <w:pgMar w:top="1440" w:right="1440" w:bottom="1440" w:left="1440" w:header="708" w:footer="708" w:gutter="0"/>
          <w:pgNumType w:start="1"/>
          <w:cols w:space="708"/>
          <w:docGrid w:linePitch="360"/>
        </w:sectPr>
      </w:pPr>
    </w:p>
    <w:p w14:paraId="6010260C" w14:textId="7AA9FC46" w:rsidR="00B311A7" w:rsidRPr="008E781C" w:rsidRDefault="00B311A7" w:rsidP="008C791E">
      <w:pPr>
        <w:pStyle w:val="MH1"/>
        <w:spacing w:after="0"/>
      </w:pPr>
      <w:bookmarkStart w:id="19" w:name="_Toc496025535"/>
      <w:bookmarkStart w:id="20" w:name="_Toc520923928"/>
      <w:bookmarkEnd w:id="17"/>
      <w:r w:rsidRPr="008E781C">
        <w:lastRenderedPageBreak/>
        <w:t>Type of investment</w:t>
      </w:r>
      <w:bookmarkEnd w:id="19"/>
      <w:r w:rsidR="00B65D4C" w:rsidRPr="008E781C">
        <w:rPr>
          <w:b w:val="0"/>
          <w:vertAlign w:val="superscript"/>
        </w:rPr>
        <w:footnoteReference w:id="158"/>
      </w:r>
      <w:bookmarkEnd w:id="20"/>
    </w:p>
    <w:p w14:paraId="664002D0" w14:textId="77777777" w:rsidR="00BB6838" w:rsidRPr="008E781C" w:rsidRDefault="00BB6838" w:rsidP="008C791E">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753"/>
        <w:gridCol w:w="1536"/>
        <w:gridCol w:w="8540"/>
        <w:gridCol w:w="2109"/>
      </w:tblGrid>
      <w:tr w:rsidR="00BB6838" w:rsidRPr="008E781C" w14:paraId="0A468106" w14:textId="77777777" w:rsidTr="00A80347">
        <w:trPr>
          <w:tblHeader/>
        </w:trPr>
        <w:tc>
          <w:tcPr>
            <w:tcW w:w="770" w:type="pct"/>
            <w:shd w:val="clear" w:color="auto" w:fill="95B3D7" w:themeFill="accent1" w:themeFillTint="99"/>
            <w:vAlign w:val="center"/>
          </w:tcPr>
          <w:p w14:paraId="5BA51FEE" w14:textId="29921086" w:rsidR="00B311A7" w:rsidRPr="008E781C" w:rsidRDefault="00B311A7" w:rsidP="00A80347">
            <w:pPr>
              <w:jc w:val="center"/>
              <w:rPr>
                <w:rFonts w:ascii="Century Gothic" w:hAnsi="Century Gothic"/>
                <w:b/>
                <w:bCs/>
                <w:sz w:val="18"/>
                <w:szCs w:val="18"/>
              </w:rPr>
            </w:pPr>
            <w:bookmarkStart w:id="21" w:name="_Hlk496020552"/>
            <w:r w:rsidRPr="008E781C">
              <w:rPr>
                <w:rFonts w:ascii="Century Gothic" w:hAnsi="Century Gothic"/>
                <w:b/>
                <w:bCs/>
                <w:sz w:val="18"/>
                <w:szCs w:val="18"/>
              </w:rPr>
              <w:t>Type of investment required</w:t>
            </w:r>
          </w:p>
        </w:tc>
        <w:tc>
          <w:tcPr>
            <w:tcW w:w="476" w:type="pct"/>
            <w:shd w:val="clear" w:color="auto" w:fill="95B3D7" w:themeFill="accent1" w:themeFillTint="99"/>
            <w:vAlign w:val="center"/>
          </w:tcPr>
          <w:p w14:paraId="56906F31" w14:textId="1681A684" w:rsidR="00B311A7" w:rsidRPr="008E781C" w:rsidRDefault="00B311A7" w:rsidP="00A80347">
            <w:pPr>
              <w:jc w:val="center"/>
              <w:rPr>
                <w:rFonts w:ascii="Century Gothic" w:hAnsi="Century Gothic"/>
                <w:bCs/>
                <w:i/>
                <w:sz w:val="18"/>
                <w:szCs w:val="18"/>
              </w:rPr>
            </w:pPr>
            <w:r w:rsidRPr="008E781C">
              <w:rPr>
                <w:rFonts w:ascii="Century Gothic" w:hAnsi="Century Gothic"/>
                <w:b/>
                <w:bCs/>
                <w:sz w:val="18"/>
                <w:szCs w:val="18"/>
              </w:rPr>
              <w:t>Applicability of financial threshold</w:t>
            </w:r>
          </w:p>
        </w:tc>
        <w:tc>
          <w:tcPr>
            <w:tcW w:w="2971" w:type="pct"/>
            <w:shd w:val="clear" w:color="auto" w:fill="95B3D7" w:themeFill="accent1" w:themeFillTint="99"/>
            <w:vAlign w:val="center"/>
          </w:tcPr>
          <w:p w14:paraId="2F86456B" w14:textId="20DD42C0" w:rsidR="00B311A7" w:rsidRPr="008E781C" w:rsidRDefault="00B311A7" w:rsidP="00A80347">
            <w:pPr>
              <w:jc w:val="center"/>
              <w:rPr>
                <w:rFonts w:ascii="Century Gothic" w:hAnsi="Century Gothic"/>
                <w:b/>
                <w:bCs/>
                <w:i/>
                <w:sz w:val="18"/>
                <w:szCs w:val="18"/>
              </w:rPr>
            </w:pPr>
            <w:r w:rsidRPr="008E781C">
              <w:rPr>
                <w:rFonts w:ascii="Century Gothic" w:hAnsi="Century Gothic"/>
                <w:b/>
                <w:bCs/>
                <w:sz w:val="18"/>
                <w:szCs w:val="18"/>
              </w:rPr>
              <w:t>Procedure to verify the fulfilment of the investment criterion</w:t>
            </w:r>
          </w:p>
        </w:tc>
        <w:tc>
          <w:tcPr>
            <w:tcW w:w="783" w:type="pct"/>
            <w:shd w:val="clear" w:color="auto" w:fill="95B3D7" w:themeFill="accent1" w:themeFillTint="99"/>
            <w:vAlign w:val="center"/>
          </w:tcPr>
          <w:p w14:paraId="1AB0C371" w14:textId="63567C11" w:rsidR="00B311A7" w:rsidRPr="008E781C" w:rsidRDefault="00B311A7" w:rsidP="00A80347">
            <w:pPr>
              <w:jc w:val="center"/>
              <w:rPr>
                <w:rFonts w:ascii="Century Gothic" w:hAnsi="Century Gothic"/>
                <w:b/>
                <w:bCs/>
                <w:sz w:val="18"/>
                <w:szCs w:val="18"/>
              </w:rPr>
            </w:pPr>
            <w:r w:rsidRPr="008E781C">
              <w:rPr>
                <w:rFonts w:ascii="Century Gothic" w:hAnsi="Century Gothic"/>
                <w:b/>
                <w:bCs/>
                <w:sz w:val="18"/>
                <w:szCs w:val="18"/>
              </w:rPr>
              <w:t>Competent authorities and non-public bodies</w:t>
            </w:r>
          </w:p>
        </w:tc>
      </w:tr>
      <w:tr w:rsidR="0009039B" w:rsidRPr="008E781C" w14:paraId="3AB0A5E0" w14:textId="77777777" w:rsidTr="00A80347">
        <w:tc>
          <w:tcPr>
            <w:tcW w:w="770" w:type="pct"/>
            <w:shd w:val="clear" w:color="auto" w:fill="D9D9D9" w:themeFill="background1" w:themeFillShade="D9"/>
          </w:tcPr>
          <w:p w14:paraId="13B25DA6" w14:textId="36C131FE" w:rsidR="0009039B" w:rsidRPr="008E781C" w:rsidRDefault="0009039B" w:rsidP="008C791E">
            <w:pPr>
              <w:jc w:val="both"/>
              <w:rPr>
                <w:rFonts w:ascii="Century Gothic" w:hAnsi="Century Gothic"/>
                <w:bCs/>
                <w:sz w:val="18"/>
                <w:szCs w:val="18"/>
              </w:rPr>
            </w:pPr>
            <w:r w:rsidRPr="008E781C">
              <w:rPr>
                <w:rFonts w:ascii="Century Gothic" w:hAnsi="Century Gothic"/>
                <w:bCs/>
                <w:sz w:val="18"/>
                <w:szCs w:val="18"/>
              </w:rPr>
              <w:t>To issue an investors’ residence visa and an investors’ residence authorisation a “significant capital investment”</w:t>
            </w:r>
            <w:r w:rsidR="000D010B" w:rsidRPr="008E781C">
              <w:rPr>
                <w:rFonts w:ascii="Century Gothic" w:hAnsi="Century Gothic"/>
                <w:bCs/>
                <w:sz w:val="18"/>
                <w:szCs w:val="18"/>
              </w:rPr>
              <w:t xml:space="preserve"> is required – meaning </w:t>
            </w:r>
            <w:r w:rsidR="000D010B" w:rsidRPr="008E781C">
              <w:rPr>
                <w:rFonts w:ascii="Century Gothic" w:hAnsi="Century Gothic"/>
                <w:b/>
                <w:bCs/>
                <w:sz w:val="18"/>
                <w:szCs w:val="18"/>
              </w:rPr>
              <w:t xml:space="preserve">any </w:t>
            </w:r>
            <w:r w:rsidRPr="008E781C">
              <w:rPr>
                <w:rFonts w:ascii="Century Gothic" w:hAnsi="Century Gothic"/>
                <w:b/>
                <w:bCs/>
                <w:sz w:val="18"/>
                <w:szCs w:val="18"/>
              </w:rPr>
              <w:t>one of</w:t>
            </w:r>
            <w:r w:rsidRPr="008E781C">
              <w:rPr>
                <w:rFonts w:ascii="Century Gothic" w:hAnsi="Century Gothic"/>
                <w:bCs/>
                <w:sz w:val="18"/>
                <w:szCs w:val="18"/>
              </w:rPr>
              <w:t xml:space="preserve"> any of the investments listed below</w:t>
            </w:r>
            <w:r w:rsidR="000D010B" w:rsidRPr="008E781C">
              <w:rPr>
                <w:rFonts w:ascii="Century Gothic" w:hAnsi="Century Gothic"/>
                <w:bCs/>
                <w:sz w:val="18"/>
                <w:szCs w:val="18"/>
              </w:rPr>
              <w:t>.</w:t>
            </w:r>
            <w:r w:rsidRPr="008E781C">
              <w:rPr>
                <w:rStyle w:val="FootnoteReference"/>
                <w:rFonts w:ascii="Century Gothic" w:hAnsi="Century Gothic"/>
                <w:bCs/>
                <w:sz w:val="18"/>
                <w:szCs w:val="18"/>
              </w:rPr>
              <w:footnoteReference w:id="159"/>
            </w:r>
          </w:p>
          <w:p w14:paraId="51D154E3" w14:textId="77777777" w:rsidR="0009039B" w:rsidRPr="008E781C" w:rsidRDefault="0009039B" w:rsidP="008C791E">
            <w:pPr>
              <w:jc w:val="both"/>
              <w:rPr>
                <w:rFonts w:ascii="Century Gothic" w:hAnsi="Century Gothic"/>
                <w:bCs/>
                <w:sz w:val="18"/>
                <w:szCs w:val="18"/>
              </w:rPr>
            </w:pPr>
          </w:p>
          <w:p w14:paraId="31C8BC30" w14:textId="77777777" w:rsidR="008C791E" w:rsidRPr="008E781C" w:rsidRDefault="008C791E" w:rsidP="008C791E">
            <w:pPr>
              <w:jc w:val="both"/>
              <w:rPr>
                <w:rFonts w:ascii="Century Gothic" w:hAnsi="Century Gothic"/>
                <w:bCs/>
                <w:sz w:val="18"/>
                <w:szCs w:val="18"/>
              </w:rPr>
            </w:pPr>
            <w:r w:rsidRPr="008E781C">
              <w:rPr>
                <w:rFonts w:ascii="Century Gothic" w:hAnsi="Century Gothic"/>
                <w:bCs/>
                <w:sz w:val="18"/>
                <w:szCs w:val="18"/>
              </w:rPr>
              <w:t>Apart from the investment, the foreign investor has to pay an application fee.</w:t>
            </w:r>
          </w:p>
          <w:p w14:paraId="4DD074C8" w14:textId="390C6F6E" w:rsidR="0009039B" w:rsidRPr="008E781C" w:rsidRDefault="0009039B" w:rsidP="008C791E">
            <w:pPr>
              <w:jc w:val="both"/>
              <w:rPr>
                <w:rFonts w:ascii="Century Gothic" w:hAnsi="Century Gothic"/>
                <w:bCs/>
                <w:sz w:val="18"/>
                <w:szCs w:val="18"/>
              </w:rPr>
            </w:pPr>
          </w:p>
        </w:tc>
        <w:tc>
          <w:tcPr>
            <w:tcW w:w="476" w:type="pct"/>
            <w:shd w:val="clear" w:color="auto" w:fill="D9D9D9" w:themeFill="background1" w:themeFillShade="D9"/>
          </w:tcPr>
          <w:p w14:paraId="22DBEE0F" w14:textId="362A86FE" w:rsidR="0009039B" w:rsidRPr="008E781C" w:rsidRDefault="0009039B">
            <w:pPr>
              <w:jc w:val="both"/>
              <w:rPr>
                <w:rFonts w:ascii="Century Gothic" w:hAnsi="Century Gothic"/>
                <w:bCs/>
                <w:sz w:val="18"/>
                <w:szCs w:val="18"/>
              </w:rPr>
            </w:pPr>
            <w:r w:rsidRPr="008E781C">
              <w:rPr>
                <w:rFonts w:ascii="Century Gothic" w:hAnsi="Century Gothic"/>
                <w:bCs/>
                <w:sz w:val="18"/>
                <w:szCs w:val="18"/>
              </w:rPr>
              <w:t xml:space="preserve">There are three financial thresholds depending on </w:t>
            </w:r>
            <w:r w:rsidR="00344015" w:rsidRPr="008E781C">
              <w:rPr>
                <w:rFonts w:ascii="Century Gothic" w:hAnsi="Century Gothic"/>
                <w:bCs/>
                <w:sz w:val="18"/>
                <w:szCs w:val="18"/>
              </w:rPr>
              <w:t>the type of investment (from EUR 500,000 to EUR 2 million)</w:t>
            </w:r>
            <w:r w:rsidR="009C6285" w:rsidRPr="008E781C">
              <w:rPr>
                <w:rFonts w:ascii="Century Gothic" w:hAnsi="Century Gothic"/>
                <w:bCs/>
                <w:sz w:val="18"/>
                <w:szCs w:val="18"/>
              </w:rPr>
              <w:t>.</w:t>
            </w:r>
          </w:p>
          <w:p w14:paraId="2A43BEDC" w14:textId="293EC4DC" w:rsidR="00A80D3C" w:rsidRPr="008E781C" w:rsidRDefault="00A80D3C">
            <w:pPr>
              <w:jc w:val="both"/>
              <w:rPr>
                <w:rFonts w:ascii="Century Gothic" w:hAnsi="Century Gothic"/>
                <w:bCs/>
                <w:sz w:val="18"/>
                <w:szCs w:val="18"/>
              </w:rPr>
            </w:pPr>
          </w:p>
          <w:p w14:paraId="5451C16A" w14:textId="18898B87" w:rsidR="009C6285" w:rsidRPr="008E781C" w:rsidRDefault="009C6285">
            <w:pPr>
              <w:jc w:val="both"/>
              <w:rPr>
                <w:rFonts w:ascii="Century Gothic" w:hAnsi="Century Gothic"/>
                <w:bCs/>
                <w:sz w:val="18"/>
                <w:szCs w:val="18"/>
              </w:rPr>
            </w:pPr>
            <w:r w:rsidRPr="008E781C">
              <w:rPr>
                <w:rFonts w:ascii="Century Gothic" w:hAnsi="Century Gothic"/>
                <w:bCs/>
                <w:sz w:val="18"/>
                <w:szCs w:val="18"/>
              </w:rPr>
              <w:t>In addition</w:t>
            </w:r>
            <w:r w:rsidR="00777319" w:rsidRPr="008E781C">
              <w:rPr>
                <w:rFonts w:ascii="Century Gothic" w:hAnsi="Century Gothic"/>
                <w:bCs/>
                <w:sz w:val="18"/>
                <w:szCs w:val="18"/>
              </w:rPr>
              <w:t>,</w:t>
            </w:r>
            <w:r w:rsidRPr="008E781C">
              <w:rPr>
                <w:rFonts w:ascii="Century Gothic" w:hAnsi="Century Gothic"/>
                <w:bCs/>
                <w:sz w:val="18"/>
                <w:szCs w:val="18"/>
              </w:rPr>
              <w:t xml:space="preserve"> the following </w:t>
            </w:r>
            <w:r w:rsidRPr="008E781C">
              <w:rPr>
                <w:rFonts w:ascii="Century Gothic" w:hAnsi="Century Gothic"/>
                <w:b/>
                <w:bCs/>
                <w:sz w:val="18"/>
                <w:szCs w:val="18"/>
              </w:rPr>
              <w:t>fees</w:t>
            </w:r>
            <w:r w:rsidRPr="008E781C">
              <w:rPr>
                <w:rFonts w:ascii="Century Gothic" w:hAnsi="Century Gothic"/>
                <w:bCs/>
                <w:sz w:val="18"/>
                <w:szCs w:val="18"/>
              </w:rPr>
              <w:t xml:space="preserve"> must be paid:</w:t>
            </w:r>
          </w:p>
          <w:p w14:paraId="3B84A28C" w14:textId="3865078A" w:rsidR="008C791E" w:rsidRPr="008E781C" w:rsidRDefault="008C791E" w:rsidP="008C791E">
            <w:pPr>
              <w:pStyle w:val="ListParagraph"/>
              <w:numPr>
                <w:ilvl w:val="0"/>
                <w:numId w:val="42"/>
              </w:numPr>
              <w:ind w:left="191" w:hanging="191"/>
              <w:rPr>
                <w:rFonts w:ascii="Century Gothic" w:hAnsi="Century Gothic"/>
                <w:bCs/>
                <w:sz w:val="18"/>
                <w:szCs w:val="18"/>
              </w:rPr>
            </w:pPr>
            <w:r w:rsidRPr="008E781C">
              <w:rPr>
                <w:rFonts w:ascii="Century Gothic" w:hAnsi="Century Gothic"/>
                <w:bCs/>
                <w:sz w:val="18"/>
                <w:szCs w:val="18"/>
              </w:rPr>
              <w:t>EUR 60 – visa</w:t>
            </w:r>
          </w:p>
          <w:p w14:paraId="2085E6DA" w14:textId="2ACBFC8C" w:rsidR="008C791E" w:rsidRPr="008E781C" w:rsidRDefault="008C791E" w:rsidP="008C791E">
            <w:pPr>
              <w:pStyle w:val="ListParagraph"/>
              <w:numPr>
                <w:ilvl w:val="0"/>
                <w:numId w:val="42"/>
              </w:numPr>
              <w:ind w:left="191" w:hanging="191"/>
              <w:rPr>
                <w:rFonts w:ascii="Century Gothic" w:hAnsi="Century Gothic"/>
                <w:bCs/>
                <w:sz w:val="18"/>
                <w:szCs w:val="18"/>
              </w:rPr>
            </w:pPr>
            <w:r w:rsidRPr="008E781C">
              <w:rPr>
                <w:rFonts w:ascii="Century Gothic" w:hAnsi="Century Gothic"/>
                <w:bCs/>
                <w:sz w:val="18"/>
                <w:szCs w:val="18"/>
              </w:rPr>
              <w:t xml:space="preserve">EUR 70,40 </w:t>
            </w:r>
            <w:r w:rsidR="009C6285" w:rsidRPr="008E781C">
              <w:rPr>
                <w:rFonts w:ascii="Century Gothic" w:hAnsi="Century Gothic"/>
                <w:bCs/>
                <w:sz w:val="18"/>
                <w:szCs w:val="18"/>
              </w:rPr>
              <w:t>-</w:t>
            </w:r>
            <w:r w:rsidRPr="008E781C">
              <w:rPr>
                <w:rFonts w:ascii="Century Gothic" w:hAnsi="Century Gothic"/>
                <w:bCs/>
                <w:sz w:val="18"/>
                <w:szCs w:val="18"/>
              </w:rPr>
              <w:t>authorisation</w:t>
            </w:r>
          </w:p>
          <w:p w14:paraId="2B0D46E0" w14:textId="77777777" w:rsidR="00777319" w:rsidRPr="008E781C" w:rsidRDefault="008C791E" w:rsidP="00777319">
            <w:pPr>
              <w:pStyle w:val="ListParagraph"/>
              <w:numPr>
                <w:ilvl w:val="0"/>
                <w:numId w:val="42"/>
              </w:numPr>
              <w:ind w:left="191" w:hanging="191"/>
              <w:rPr>
                <w:rFonts w:ascii="Century Gothic" w:hAnsi="Century Gothic"/>
                <w:bCs/>
                <w:sz w:val="18"/>
                <w:szCs w:val="18"/>
              </w:rPr>
            </w:pPr>
            <w:r w:rsidRPr="008E781C">
              <w:rPr>
                <w:rFonts w:ascii="Century Gothic" w:hAnsi="Century Gothic"/>
                <w:bCs/>
                <w:sz w:val="18"/>
                <w:szCs w:val="18"/>
              </w:rPr>
              <w:t xml:space="preserve">EUR 75,60 </w:t>
            </w:r>
            <w:r w:rsidR="009C6285" w:rsidRPr="008E781C">
              <w:rPr>
                <w:rFonts w:ascii="Century Gothic" w:hAnsi="Century Gothic"/>
                <w:bCs/>
                <w:sz w:val="18"/>
                <w:szCs w:val="18"/>
              </w:rPr>
              <w:t>-</w:t>
            </w:r>
            <w:r w:rsidRPr="008E781C">
              <w:rPr>
                <w:rFonts w:ascii="Century Gothic" w:hAnsi="Century Gothic"/>
                <w:bCs/>
                <w:sz w:val="18"/>
                <w:szCs w:val="18"/>
              </w:rPr>
              <w:t>renewal</w:t>
            </w:r>
          </w:p>
          <w:p w14:paraId="7CB73D46" w14:textId="77777777" w:rsidR="00777319" w:rsidRPr="008E781C" w:rsidRDefault="00777319" w:rsidP="00777319">
            <w:pPr>
              <w:rPr>
                <w:rFonts w:ascii="Century Gothic" w:hAnsi="Century Gothic"/>
                <w:b/>
                <w:bCs/>
                <w:sz w:val="18"/>
                <w:szCs w:val="18"/>
              </w:rPr>
            </w:pPr>
          </w:p>
          <w:p w14:paraId="02622696" w14:textId="04599BB6" w:rsidR="00975581" w:rsidRPr="008E781C" w:rsidRDefault="00975581" w:rsidP="00777319">
            <w:pPr>
              <w:rPr>
                <w:rFonts w:ascii="Century Gothic" w:hAnsi="Century Gothic"/>
                <w:bCs/>
                <w:sz w:val="18"/>
                <w:szCs w:val="18"/>
              </w:rPr>
            </w:pPr>
            <w:r w:rsidRPr="008E781C">
              <w:rPr>
                <w:rFonts w:ascii="Century Gothic" w:hAnsi="Century Gothic"/>
                <w:b/>
                <w:bCs/>
                <w:sz w:val="18"/>
                <w:szCs w:val="18"/>
              </w:rPr>
              <w:t>TOTAL: EUR 206</w:t>
            </w:r>
          </w:p>
          <w:p w14:paraId="3F053430" w14:textId="77777777" w:rsidR="008C791E" w:rsidRPr="008E781C" w:rsidRDefault="008C791E" w:rsidP="000307F8">
            <w:pPr>
              <w:jc w:val="both"/>
              <w:rPr>
                <w:rFonts w:ascii="Century Gothic" w:hAnsi="Century Gothic"/>
                <w:bCs/>
                <w:sz w:val="18"/>
                <w:szCs w:val="18"/>
              </w:rPr>
            </w:pPr>
          </w:p>
          <w:p w14:paraId="511CFFEF" w14:textId="28D61FB1" w:rsidR="0009039B" w:rsidRPr="008E781C" w:rsidRDefault="0009039B" w:rsidP="000307F8">
            <w:pPr>
              <w:jc w:val="both"/>
              <w:rPr>
                <w:rFonts w:ascii="Century Gothic" w:hAnsi="Century Gothic"/>
                <w:bCs/>
                <w:sz w:val="18"/>
                <w:szCs w:val="18"/>
              </w:rPr>
            </w:pPr>
          </w:p>
        </w:tc>
        <w:tc>
          <w:tcPr>
            <w:tcW w:w="2971" w:type="pct"/>
            <w:shd w:val="clear" w:color="auto" w:fill="D9D9D9" w:themeFill="background1" w:themeFillShade="D9"/>
          </w:tcPr>
          <w:p w14:paraId="4035D4B2" w14:textId="5F97E703" w:rsidR="0009039B" w:rsidRPr="008E781C" w:rsidRDefault="00344015" w:rsidP="000307F8">
            <w:pPr>
              <w:jc w:val="both"/>
              <w:rPr>
                <w:rFonts w:ascii="Century Gothic" w:hAnsi="Century Gothic"/>
                <w:bCs/>
                <w:sz w:val="18"/>
                <w:szCs w:val="18"/>
              </w:rPr>
            </w:pPr>
            <w:r w:rsidRPr="008E781C">
              <w:rPr>
                <w:rFonts w:ascii="Century Gothic" w:hAnsi="Century Gothic"/>
                <w:bCs/>
                <w:sz w:val="18"/>
                <w:szCs w:val="18"/>
              </w:rPr>
              <w:t>Regardless of the type of the investment, the fulfilment of the investment requirement (i.e. that the investment has been made and it is in line with the legal requirements)</w:t>
            </w:r>
            <w:r w:rsidR="0009039B" w:rsidRPr="008E781C">
              <w:rPr>
                <w:rFonts w:ascii="Century Gothic" w:hAnsi="Century Gothic"/>
                <w:bCs/>
                <w:sz w:val="18"/>
                <w:szCs w:val="18"/>
              </w:rPr>
              <w:t xml:space="preserve"> is </w:t>
            </w:r>
            <w:r w:rsidR="0009039B" w:rsidRPr="008E781C">
              <w:rPr>
                <w:rFonts w:ascii="Century Gothic" w:hAnsi="Century Gothic"/>
                <w:b/>
                <w:bCs/>
                <w:sz w:val="18"/>
                <w:szCs w:val="18"/>
              </w:rPr>
              <w:t>checked</w:t>
            </w:r>
            <w:r w:rsidR="0009039B" w:rsidRPr="008E781C">
              <w:rPr>
                <w:rFonts w:ascii="Century Gothic" w:hAnsi="Century Gothic"/>
                <w:bCs/>
                <w:sz w:val="18"/>
                <w:szCs w:val="18"/>
              </w:rPr>
              <w:t xml:space="preserve"> at the time of </w:t>
            </w:r>
            <w:r w:rsidR="0009039B" w:rsidRPr="008E781C">
              <w:rPr>
                <w:rFonts w:ascii="Century Gothic" w:hAnsi="Century Gothic"/>
                <w:b/>
                <w:bCs/>
                <w:sz w:val="18"/>
                <w:szCs w:val="18"/>
              </w:rPr>
              <w:t>filing an application for an investors’ residence visa</w:t>
            </w:r>
            <w:r w:rsidR="0009039B" w:rsidRPr="008E781C">
              <w:rPr>
                <w:rStyle w:val="FootnoteReference"/>
                <w:rFonts w:ascii="Century Gothic" w:hAnsi="Century Gothic"/>
                <w:bCs/>
                <w:sz w:val="18"/>
                <w:szCs w:val="18"/>
              </w:rPr>
              <w:footnoteReference w:id="160"/>
            </w:r>
            <w:r w:rsidR="005F1BFC" w:rsidRPr="008E781C">
              <w:rPr>
                <w:rFonts w:ascii="Century Gothic" w:hAnsi="Century Gothic"/>
                <w:b/>
                <w:bCs/>
                <w:sz w:val="18"/>
                <w:szCs w:val="18"/>
              </w:rPr>
              <w:t xml:space="preserve"> </w:t>
            </w:r>
            <w:r w:rsidR="005F1BFC" w:rsidRPr="008E781C">
              <w:rPr>
                <w:rFonts w:ascii="Century Gothic" w:hAnsi="Century Gothic"/>
                <w:bCs/>
                <w:sz w:val="18"/>
                <w:szCs w:val="18"/>
              </w:rPr>
              <w:t xml:space="preserve">and, again, at the time of filing an </w:t>
            </w:r>
            <w:r w:rsidR="005F1BFC" w:rsidRPr="008E781C">
              <w:rPr>
                <w:rFonts w:ascii="Century Gothic" w:hAnsi="Century Gothic"/>
                <w:b/>
                <w:bCs/>
                <w:sz w:val="18"/>
                <w:szCs w:val="18"/>
              </w:rPr>
              <w:t>application for an investors’ residence authorisation</w:t>
            </w:r>
            <w:r w:rsidR="005F1BFC" w:rsidRPr="008E781C">
              <w:rPr>
                <w:rFonts w:ascii="Century Gothic" w:hAnsi="Century Gothic"/>
                <w:bCs/>
                <w:sz w:val="18"/>
                <w:szCs w:val="18"/>
              </w:rPr>
              <w:t>.</w:t>
            </w:r>
            <w:r w:rsidR="005F1BFC" w:rsidRPr="008E781C">
              <w:rPr>
                <w:rStyle w:val="FootnoteReference"/>
                <w:rFonts w:ascii="Century Gothic" w:hAnsi="Century Gothic"/>
                <w:bCs/>
                <w:sz w:val="18"/>
                <w:szCs w:val="18"/>
              </w:rPr>
              <w:footnoteReference w:id="161"/>
            </w:r>
            <w:r w:rsidR="005F1BFC" w:rsidRPr="008E781C">
              <w:rPr>
                <w:rFonts w:ascii="Century Gothic" w:hAnsi="Century Gothic"/>
                <w:bCs/>
                <w:sz w:val="18"/>
                <w:szCs w:val="18"/>
              </w:rPr>
              <w:t xml:space="preserve"> However,</w:t>
            </w:r>
            <w:r w:rsidR="00745F58" w:rsidRPr="008E781C">
              <w:rPr>
                <w:rFonts w:ascii="Century Gothic" w:hAnsi="Century Gothic"/>
                <w:bCs/>
                <w:sz w:val="18"/>
                <w:szCs w:val="18"/>
              </w:rPr>
              <w:t xml:space="preserve"> in some instances,</w:t>
            </w:r>
            <w:r w:rsidR="005F1BFC" w:rsidRPr="008E781C">
              <w:rPr>
                <w:rFonts w:ascii="Century Gothic" w:hAnsi="Century Gothic"/>
                <w:bCs/>
                <w:sz w:val="18"/>
                <w:szCs w:val="18"/>
              </w:rPr>
              <w:t xml:space="preserve"> the means of evidence are different </w:t>
            </w:r>
            <w:r w:rsidR="00745F58" w:rsidRPr="008E781C">
              <w:rPr>
                <w:rFonts w:ascii="Century Gothic" w:hAnsi="Century Gothic"/>
                <w:bCs/>
                <w:sz w:val="18"/>
                <w:szCs w:val="18"/>
              </w:rPr>
              <w:t xml:space="preserve">depending </w:t>
            </w:r>
            <w:r w:rsidR="009245F7" w:rsidRPr="008E781C">
              <w:rPr>
                <w:rFonts w:ascii="Century Gothic" w:hAnsi="Century Gothic"/>
                <w:bCs/>
                <w:sz w:val="18"/>
                <w:szCs w:val="18"/>
              </w:rPr>
              <w:t xml:space="preserve">on </w:t>
            </w:r>
            <w:r w:rsidR="00745F58" w:rsidRPr="008E781C">
              <w:rPr>
                <w:rFonts w:ascii="Century Gothic" w:hAnsi="Century Gothic"/>
                <w:bCs/>
                <w:sz w:val="18"/>
                <w:szCs w:val="18"/>
              </w:rPr>
              <w:t>the permit (visa or authorisation) applied for (see below)</w:t>
            </w:r>
            <w:r w:rsidR="005F1BFC" w:rsidRPr="008E781C">
              <w:rPr>
                <w:rFonts w:ascii="Century Gothic" w:hAnsi="Century Gothic"/>
                <w:bCs/>
                <w:sz w:val="18"/>
                <w:szCs w:val="18"/>
              </w:rPr>
              <w:t>.</w:t>
            </w:r>
          </w:p>
          <w:p w14:paraId="1A25D8D4" w14:textId="38FBEE2B" w:rsidR="00E8746D" w:rsidRPr="008E781C" w:rsidRDefault="00E8746D" w:rsidP="000307F8">
            <w:pPr>
              <w:jc w:val="both"/>
              <w:rPr>
                <w:rFonts w:ascii="Century Gothic" w:hAnsi="Century Gothic"/>
                <w:bCs/>
                <w:sz w:val="18"/>
                <w:szCs w:val="18"/>
              </w:rPr>
            </w:pPr>
          </w:p>
          <w:p w14:paraId="60936783" w14:textId="2F8EE7C0" w:rsidR="006C16AC" w:rsidRPr="008E781C" w:rsidRDefault="009245F7" w:rsidP="000307F8">
            <w:pPr>
              <w:jc w:val="both"/>
              <w:rPr>
                <w:rFonts w:ascii="Century Gothic" w:hAnsi="Century Gothic"/>
                <w:bCs/>
                <w:sz w:val="18"/>
                <w:szCs w:val="18"/>
              </w:rPr>
            </w:pPr>
            <w:r w:rsidRPr="008E781C">
              <w:rPr>
                <w:rFonts w:ascii="Century Gothic" w:hAnsi="Century Gothic"/>
                <w:bCs/>
                <w:sz w:val="18"/>
                <w:szCs w:val="18"/>
              </w:rPr>
              <w:t>The</w:t>
            </w:r>
            <w:r w:rsidR="00E8746D" w:rsidRPr="008E781C">
              <w:rPr>
                <w:rFonts w:ascii="Century Gothic" w:hAnsi="Century Gothic"/>
                <w:bCs/>
                <w:sz w:val="18"/>
                <w:szCs w:val="18"/>
              </w:rPr>
              <w:t xml:space="preserve"> </w:t>
            </w:r>
            <w:r w:rsidR="00E8746D" w:rsidRPr="008E781C">
              <w:rPr>
                <w:rFonts w:ascii="Century Gothic" w:hAnsi="Century Gothic"/>
                <w:b/>
                <w:bCs/>
                <w:sz w:val="18"/>
                <w:szCs w:val="18"/>
              </w:rPr>
              <w:t>significant capital investment</w:t>
            </w:r>
            <w:r w:rsidR="00E8746D" w:rsidRPr="008E781C">
              <w:rPr>
                <w:rFonts w:ascii="Century Gothic" w:hAnsi="Century Gothic"/>
                <w:bCs/>
                <w:sz w:val="18"/>
                <w:szCs w:val="18"/>
              </w:rPr>
              <w:t xml:space="preserve"> can also be carried out by a legal person, registered in a territory that is not considered a tax haven according to Spanish regulations, and when</w:t>
            </w:r>
            <w:r w:rsidR="00344015" w:rsidRPr="008E781C">
              <w:rPr>
                <w:rFonts w:ascii="Century Gothic" w:hAnsi="Century Gothic"/>
                <w:bCs/>
                <w:sz w:val="18"/>
                <w:szCs w:val="18"/>
              </w:rPr>
              <w:t xml:space="preserve"> the</w:t>
            </w:r>
            <w:r w:rsidR="00E8746D" w:rsidRPr="008E781C">
              <w:rPr>
                <w:rFonts w:ascii="Century Gothic" w:hAnsi="Century Gothic"/>
                <w:bCs/>
                <w:sz w:val="18"/>
                <w:szCs w:val="18"/>
              </w:rPr>
              <w:t xml:space="preserve"> investor owns</w:t>
            </w:r>
            <w:r w:rsidR="00344015" w:rsidRPr="008E781C">
              <w:rPr>
                <w:rFonts w:ascii="Century Gothic" w:hAnsi="Century Gothic"/>
                <w:bCs/>
                <w:sz w:val="18"/>
                <w:szCs w:val="18"/>
              </w:rPr>
              <w:t xml:space="preserve"> in this legal person</w:t>
            </w:r>
            <w:r w:rsidR="00E8746D" w:rsidRPr="008E781C">
              <w:rPr>
                <w:rFonts w:ascii="Century Gothic" w:hAnsi="Century Gothic"/>
                <w:bCs/>
                <w:sz w:val="18"/>
                <w:szCs w:val="18"/>
              </w:rPr>
              <w:t>, directly or indirectly, the majority of its voting rights and has the power to appoint or dismiss the majority of the members of its administrative body.</w:t>
            </w:r>
            <w:r w:rsidR="00E8746D" w:rsidRPr="008E781C">
              <w:rPr>
                <w:rStyle w:val="FootnoteReference"/>
                <w:rFonts w:ascii="Century Gothic" w:hAnsi="Century Gothic"/>
                <w:bCs/>
                <w:sz w:val="18"/>
                <w:szCs w:val="18"/>
              </w:rPr>
              <w:footnoteReference w:id="162"/>
            </w:r>
            <w:r w:rsidR="00E8746D" w:rsidRPr="008E781C">
              <w:rPr>
                <w:rFonts w:ascii="Century Gothic" w:hAnsi="Century Gothic"/>
                <w:bCs/>
                <w:sz w:val="18"/>
                <w:szCs w:val="18"/>
              </w:rPr>
              <w:t xml:space="preserve"> In this case, when an application for an </w:t>
            </w:r>
            <w:r w:rsidR="00E8746D" w:rsidRPr="008E781C">
              <w:rPr>
                <w:rFonts w:ascii="Century Gothic" w:hAnsi="Century Gothic"/>
                <w:b/>
                <w:bCs/>
                <w:sz w:val="18"/>
                <w:szCs w:val="18"/>
              </w:rPr>
              <w:t>investors’ residence visa</w:t>
            </w:r>
            <w:r w:rsidR="00E8746D" w:rsidRPr="008E781C">
              <w:rPr>
                <w:rFonts w:ascii="Century Gothic" w:hAnsi="Century Gothic"/>
                <w:bCs/>
                <w:sz w:val="18"/>
                <w:szCs w:val="18"/>
              </w:rPr>
              <w:t xml:space="preserve"> is filed, a favourable </w:t>
            </w:r>
            <w:r w:rsidR="00305ADD" w:rsidRPr="008E781C">
              <w:rPr>
                <w:rFonts w:ascii="Century Gothic" w:hAnsi="Century Gothic"/>
                <w:bCs/>
                <w:sz w:val="18"/>
                <w:szCs w:val="18"/>
              </w:rPr>
              <w:t>report</w:t>
            </w:r>
            <w:r w:rsidR="00E8746D" w:rsidRPr="008E781C">
              <w:rPr>
                <w:rFonts w:ascii="Century Gothic" w:hAnsi="Century Gothic"/>
                <w:bCs/>
                <w:sz w:val="18"/>
                <w:szCs w:val="18"/>
              </w:rPr>
              <w:t xml:space="preserve"> of the Economic and Commercial Office (</w:t>
            </w:r>
            <w:r w:rsidR="00E8746D" w:rsidRPr="008E781C">
              <w:rPr>
                <w:rFonts w:ascii="Century Gothic" w:hAnsi="Century Gothic"/>
                <w:bCs/>
                <w:i/>
                <w:sz w:val="18"/>
                <w:szCs w:val="18"/>
              </w:rPr>
              <w:t>Oficina Económica y Comercial</w:t>
            </w:r>
            <w:r w:rsidR="00E8746D" w:rsidRPr="008E781C">
              <w:rPr>
                <w:rFonts w:ascii="Century Gothic" w:hAnsi="Century Gothic"/>
                <w:bCs/>
                <w:sz w:val="18"/>
                <w:szCs w:val="18"/>
              </w:rPr>
              <w:t>)</w:t>
            </w:r>
            <w:r w:rsidR="00E8746D" w:rsidRPr="008E781C">
              <w:rPr>
                <w:rStyle w:val="FootnoteReference"/>
                <w:rFonts w:ascii="Century Gothic" w:hAnsi="Century Gothic"/>
                <w:bCs/>
                <w:sz w:val="18"/>
                <w:szCs w:val="18"/>
              </w:rPr>
              <w:footnoteReference w:id="163"/>
            </w:r>
            <w:r w:rsidR="00E8746D" w:rsidRPr="008E781C">
              <w:rPr>
                <w:rFonts w:ascii="Century Gothic" w:hAnsi="Century Gothic"/>
                <w:bCs/>
                <w:sz w:val="18"/>
                <w:szCs w:val="18"/>
              </w:rPr>
              <w:t xml:space="preserve"> </w:t>
            </w:r>
            <w:r w:rsidR="00305ADD" w:rsidRPr="008E781C">
              <w:rPr>
                <w:rFonts w:ascii="Century Gothic" w:hAnsi="Century Gothic"/>
                <w:bCs/>
                <w:sz w:val="18"/>
                <w:szCs w:val="18"/>
              </w:rPr>
              <w:t>of the geographical demarcation area where the investor files the application must be presented.</w:t>
            </w:r>
            <w:r w:rsidR="00305ADD" w:rsidRPr="008E781C">
              <w:rPr>
                <w:rStyle w:val="FootnoteReference"/>
                <w:rFonts w:ascii="Century Gothic" w:hAnsi="Century Gothic"/>
                <w:bCs/>
                <w:sz w:val="18"/>
                <w:szCs w:val="18"/>
              </w:rPr>
              <w:footnoteReference w:id="164"/>
            </w:r>
            <w:r w:rsidR="00305ADD" w:rsidRPr="008E781C">
              <w:rPr>
                <w:rFonts w:ascii="Century Gothic" w:hAnsi="Century Gothic"/>
                <w:bCs/>
                <w:sz w:val="18"/>
                <w:szCs w:val="18"/>
              </w:rPr>
              <w:t xml:space="preserve"> In the case where the application is for an </w:t>
            </w:r>
            <w:r w:rsidR="00305ADD" w:rsidRPr="008E781C">
              <w:rPr>
                <w:rFonts w:ascii="Century Gothic" w:hAnsi="Century Gothic"/>
                <w:b/>
                <w:bCs/>
                <w:sz w:val="18"/>
                <w:szCs w:val="18"/>
              </w:rPr>
              <w:t>investors’ residence authorisation</w:t>
            </w:r>
            <w:r w:rsidR="00305ADD" w:rsidRPr="008E781C">
              <w:rPr>
                <w:rFonts w:ascii="Century Gothic" w:hAnsi="Century Gothic"/>
                <w:bCs/>
                <w:sz w:val="18"/>
                <w:szCs w:val="18"/>
              </w:rPr>
              <w:t>, the competent authority to issue the said report is the General Directorate of International Trade and Investments of the Ministry of Economy and Competitiveness.</w:t>
            </w:r>
            <w:r w:rsidR="00305ADD" w:rsidRPr="008E781C">
              <w:rPr>
                <w:rFonts w:ascii="Century Gothic" w:hAnsi="Century Gothic"/>
                <w:bCs/>
                <w:sz w:val="18"/>
                <w:szCs w:val="18"/>
                <w:vertAlign w:val="superscript"/>
              </w:rPr>
              <w:footnoteReference w:id="165"/>
            </w:r>
          </w:p>
        </w:tc>
        <w:tc>
          <w:tcPr>
            <w:tcW w:w="783" w:type="pct"/>
            <w:vMerge w:val="restart"/>
            <w:shd w:val="clear" w:color="auto" w:fill="D9D9D9" w:themeFill="background1" w:themeFillShade="D9"/>
          </w:tcPr>
          <w:p w14:paraId="63A84988" w14:textId="1CB6B46C" w:rsidR="0009039B" w:rsidRPr="008E781C" w:rsidRDefault="0009039B" w:rsidP="000307F8">
            <w:pPr>
              <w:jc w:val="both"/>
              <w:rPr>
                <w:rFonts w:ascii="Century Gothic" w:hAnsi="Century Gothic"/>
                <w:bCs/>
                <w:sz w:val="18"/>
                <w:szCs w:val="18"/>
              </w:rPr>
            </w:pPr>
            <w:r w:rsidRPr="008E781C">
              <w:rPr>
                <w:rFonts w:ascii="Century Gothic" w:hAnsi="Century Gothic"/>
                <w:bCs/>
                <w:sz w:val="18"/>
                <w:szCs w:val="18"/>
              </w:rPr>
              <w:t xml:space="preserve">In checking that the investment qualifies as a significant capital investment in the meaning </w:t>
            </w:r>
            <w:r w:rsidR="00BB6838" w:rsidRPr="008E781C">
              <w:rPr>
                <w:rFonts w:ascii="Century Gothic" w:hAnsi="Century Gothic"/>
                <w:bCs/>
                <w:sz w:val="18"/>
                <w:szCs w:val="18"/>
              </w:rPr>
              <w:t>of</w:t>
            </w:r>
            <w:r w:rsidRPr="008E781C">
              <w:rPr>
                <w:rFonts w:ascii="Century Gothic" w:hAnsi="Century Gothic"/>
                <w:bCs/>
                <w:sz w:val="18"/>
                <w:szCs w:val="18"/>
              </w:rPr>
              <w:t xml:space="preserve"> Law 14/2013,</w:t>
            </w:r>
            <w:r w:rsidR="00305ADD" w:rsidRPr="008E781C">
              <w:rPr>
                <w:rFonts w:ascii="Century Gothic" w:hAnsi="Century Gothic"/>
                <w:bCs/>
                <w:sz w:val="18"/>
                <w:szCs w:val="18"/>
              </w:rPr>
              <w:t xml:space="preserve"> the competent authorities are:</w:t>
            </w:r>
          </w:p>
          <w:p w14:paraId="1424BBA1" w14:textId="586CEF99" w:rsidR="00305ADD" w:rsidRPr="008E781C" w:rsidRDefault="00305ADD" w:rsidP="00BB6838">
            <w:pPr>
              <w:pStyle w:val="ListParagraph"/>
              <w:numPr>
                <w:ilvl w:val="0"/>
                <w:numId w:val="57"/>
              </w:numPr>
              <w:rPr>
                <w:rFonts w:ascii="Century Gothic" w:hAnsi="Century Gothic"/>
                <w:bCs/>
                <w:sz w:val="18"/>
                <w:szCs w:val="18"/>
              </w:rPr>
            </w:pPr>
            <w:r w:rsidRPr="008E781C">
              <w:rPr>
                <w:rFonts w:ascii="Century Gothic" w:hAnsi="Century Gothic"/>
                <w:bCs/>
                <w:sz w:val="18"/>
                <w:szCs w:val="18"/>
              </w:rPr>
              <w:t xml:space="preserve">for an </w:t>
            </w:r>
            <w:r w:rsidRPr="008E781C">
              <w:rPr>
                <w:rFonts w:ascii="Century Gothic" w:hAnsi="Century Gothic"/>
                <w:b/>
                <w:bCs/>
                <w:sz w:val="18"/>
                <w:szCs w:val="18"/>
              </w:rPr>
              <w:t>investors’ residence visa</w:t>
            </w:r>
            <w:r w:rsidRPr="008E781C">
              <w:rPr>
                <w:rFonts w:ascii="Century Gothic" w:hAnsi="Century Gothic"/>
                <w:bCs/>
                <w:sz w:val="18"/>
                <w:szCs w:val="18"/>
              </w:rPr>
              <w:t>, the consulate or diplomatic mission</w:t>
            </w:r>
            <w:r w:rsidRPr="008E781C">
              <w:rPr>
                <w:rStyle w:val="FootnoteReference"/>
                <w:rFonts w:ascii="Century Gothic" w:hAnsi="Century Gothic"/>
                <w:bCs/>
                <w:sz w:val="18"/>
                <w:szCs w:val="18"/>
              </w:rPr>
              <w:footnoteReference w:id="166"/>
            </w:r>
          </w:p>
          <w:p w14:paraId="6630B6F7" w14:textId="3F878575" w:rsidR="00305ADD" w:rsidRPr="008E781C" w:rsidRDefault="00305ADD" w:rsidP="00FC340A">
            <w:pPr>
              <w:pStyle w:val="ListParagraph"/>
              <w:numPr>
                <w:ilvl w:val="0"/>
                <w:numId w:val="57"/>
              </w:numPr>
              <w:rPr>
                <w:rFonts w:ascii="Century Gothic" w:hAnsi="Century Gothic"/>
                <w:bCs/>
                <w:sz w:val="18"/>
                <w:szCs w:val="18"/>
              </w:rPr>
            </w:pPr>
            <w:r w:rsidRPr="008E781C">
              <w:rPr>
                <w:rFonts w:ascii="Century Gothic" w:hAnsi="Century Gothic"/>
                <w:bCs/>
                <w:sz w:val="18"/>
                <w:szCs w:val="18"/>
              </w:rPr>
              <w:t xml:space="preserve">for an </w:t>
            </w:r>
            <w:r w:rsidRPr="008E781C">
              <w:rPr>
                <w:rFonts w:ascii="Century Gothic" w:hAnsi="Century Gothic"/>
                <w:b/>
                <w:bCs/>
                <w:sz w:val="18"/>
                <w:szCs w:val="18"/>
              </w:rPr>
              <w:t>investors’ residence authorisation</w:t>
            </w:r>
            <w:r w:rsidRPr="008E781C">
              <w:rPr>
                <w:rFonts w:ascii="Century Gothic" w:hAnsi="Century Gothic"/>
                <w:bCs/>
                <w:sz w:val="18"/>
                <w:szCs w:val="18"/>
              </w:rPr>
              <w:t>, the UGE-CE</w:t>
            </w:r>
            <w:r w:rsidRPr="008E781C">
              <w:rPr>
                <w:rStyle w:val="FootnoteReference"/>
                <w:rFonts w:ascii="Century Gothic" w:hAnsi="Century Gothic"/>
                <w:bCs/>
                <w:sz w:val="18"/>
                <w:szCs w:val="18"/>
              </w:rPr>
              <w:footnoteReference w:id="167"/>
            </w:r>
          </w:p>
          <w:p w14:paraId="096B19B5" w14:textId="4D8F4181" w:rsidR="0009039B" w:rsidRPr="008E781C" w:rsidRDefault="0009039B" w:rsidP="000307F8">
            <w:pPr>
              <w:jc w:val="both"/>
              <w:rPr>
                <w:rFonts w:ascii="Century Gothic" w:hAnsi="Century Gothic"/>
                <w:bCs/>
                <w:sz w:val="18"/>
                <w:szCs w:val="18"/>
              </w:rPr>
            </w:pPr>
          </w:p>
          <w:p w14:paraId="0BD0DA2B" w14:textId="2E0568F7" w:rsidR="00F711B8" w:rsidRPr="008E781C" w:rsidRDefault="00F711B8" w:rsidP="000307F8">
            <w:pPr>
              <w:jc w:val="both"/>
              <w:rPr>
                <w:rFonts w:ascii="Century Gothic" w:hAnsi="Century Gothic"/>
                <w:bCs/>
                <w:sz w:val="18"/>
                <w:szCs w:val="18"/>
              </w:rPr>
            </w:pPr>
            <w:r w:rsidRPr="008E781C">
              <w:rPr>
                <w:rFonts w:ascii="Century Gothic" w:hAnsi="Century Gothic"/>
                <w:bCs/>
                <w:sz w:val="18"/>
                <w:szCs w:val="18"/>
              </w:rPr>
              <w:lastRenderedPageBreak/>
              <w:t xml:space="preserve">This means that the consulate or diplomatic mission carries out the same assessment as the UGE-CE. Foreign investors may apply for an investors’ residence </w:t>
            </w:r>
            <w:r w:rsidRPr="008E781C">
              <w:rPr>
                <w:rFonts w:ascii="Century Gothic" w:hAnsi="Century Gothic"/>
                <w:b/>
                <w:bCs/>
                <w:sz w:val="18"/>
                <w:szCs w:val="18"/>
              </w:rPr>
              <w:t>authorisation</w:t>
            </w:r>
            <w:r w:rsidRPr="008E781C">
              <w:rPr>
                <w:rFonts w:ascii="Century Gothic" w:hAnsi="Century Gothic"/>
                <w:bCs/>
                <w:sz w:val="18"/>
                <w:szCs w:val="18"/>
              </w:rPr>
              <w:t xml:space="preserve"> when they have entered the Spanish territory on the basis of (a) an investors’ residence visa; or (b) any other entry visa (see Section I). Therefore, the checks carried out by the UGE-CE for an investor who already holds an investors’ residence visa are easier as these checks have already been carried out when applying for </w:t>
            </w:r>
            <w:r w:rsidRPr="008E781C">
              <w:rPr>
                <w:rFonts w:ascii="Century Gothic" w:hAnsi="Century Gothic"/>
                <w:bCs/>
                <w:sz w:val="18"/>
                <w:szCs w:val="18"/>
              </w:rPr>
              <w:lastRenderedPageBreak/>
              <w:t>the visa. That is why, for example, the documentation required (see second column of the Table) differs.</w:t>
            </w:r>
          </w:p>
          <w:p w14:paraId="4AAC4366" w14:textId="77777777" w:rsidR="00F711B8" w:rsidRPr="008E781C" w:rsidRDefault="00F711B8" w:rsidP="000307F8">
            <w:pPr>
              <w:jc w:val="both"/>
              <w:rPr>
                <w:rFonts w:ascii="Century Gothic" w:hAnsi="Century Gothic"/>
                <w:bCs/>
                <w:sz w:val="18"/>
                <w:szCs w:val="18"/>
              </w:rPr>
            </w:pPr>
          </w:p>
          <w:p w14:paraId="6CE465F0" w14:textId="130FC338" w:rsidR="0009039B" w:rsidRPr="008E781C" w:rsidRDefault="00305ADD" w:rsidP="000307F8">
            <w:pPr>
              <w:jc w:val="both"/>
              <w:rPr>
                <w:rFonts w:ascii="Century Gothic" w:hAnsi="Century Gothic"/>
                <w:bCs/>
                <w:sz w:val="18"/>
                <w:szCs w:val="18"/>
              </w:rPr>
            </w:pPr>
            <w:r w:rsidRPr="008E781C">
              <w:rPr>
                <w:rFonts w:ascii="Century Gothic" w:hAnsi="Century Gothic"/>
                <w:bCs/>
                <w:sz w:val="18"/>
                <w:szCs w:val="18"/>
              </w:rPr>
              <w:t xml:space="preserve">The </w:t>
            </w:r>
            <w:r w:rsidRPr="008E781C">
              <w:rPr>
                <w:rFonts w:ascii="Century Gothic" w:hAnsi="Century Gothic"/>
                <w:b/>
                <w:bCs/>
                <w:sz w:val="18"/>
                <w:szCs w:val="18"/>
              </w:rPr>
              <w:t>competent authorities to issue the necessary evidentiary documents</w:t>
            </w:r>
            <w:r w:rsidRPr="008E781C">
              <w:rPr>
                <w:rFonts w:ascii="Century Gothic" w:hAnsi="Century Gothic"/>
                <w:bCs/>
                <w:sz w:val="18"/>
                <w:szCs w:val="18"/>
              </w:rPr>
              <w:t xml:space="preserve"> are mentioned in the previous columns. </w:t>
            </w:r>
            <w:r w:rsidR="00BF7479" w:rsidRPr="008E781C">
              <w:rPr>
                <w:rFonts w:ascii="Century Gothic" w:hAnsi="Century Gothic"/>
                <w:bCs/>
                <w:sz w:val="18"/>
                <w:szCs w:val="18"/>
              </w:rPr>
              <w:t xml:space="preserve">Spanish </w:t>
            </w:r>
            <w:r w:rsidRPr="008E781C">
              <w:rPr>
                <w:rFonts w:ascii="Century Gothic" w:hAnsi="Century Gothic"/>
                <w:bCs/>
                <w:sz w:val="18"/>
                <w:szCs w:val="18"/>
              </w:rPr>
              <w:t xml:space="preserve">law does not expressly establish that the competent authorities to issue the corresponding permit (whether a visa or an authorisation) </w:t>
            </w:r>
            <w:r w:rsidR="00BB6838" w:rsidRPr="008E781C">
              <w:rPr>
                <w:rFonts w:ascii="Century Gothic" w:hAnsi="Century Gothic"/>
                <w:bCs/>
                <w:sz w:val="18"/>
                <w:szCs w:val="18"/>
              </w:rPr>
              <w:t xml:space="preserve">must </w:t>
            </w:r>
            <w:r w:rsidRPr="008E781C">
              <w:rPr>
                <w:rFonts w:ascii="Century Gothic" w:hAnsi="Century Gothic"/>
                <w:bCs/>
                <w:sz w:val="18"/>
                <w:szCs w:val="18"/>
              </w:rPr>
              <w:t xml:space="preserve">collaborate with the authorities issuing the mentioned </w:t>
            </w:r>
            <w:r w:rsidRPr="008E781C">
              <w:rPr>
                <w:rFonts w:ascii="Century Gothic" w:hAnsi="Century Gothic"/>
                <w:bCs/>
                <w:sz w:val="18"/>
                <w:szCs w:val="18"/>
              </w:rPr>
              <w:lastRenderedPageBreak/>
              <w:t>documents</w:t>
            </w:r>
            <w:r w:rsidR="00BF7479" w:rsidRPr="008E781C">
              <w:rPr>
                <w:rFonts w:ascii="Century Gothic" w:hAnsi="Century Gothic"/>
                <w:bCs/>
                <w:sz w:val="18"/>
                <w:szCs w:val="18"/>
              </w:rPr>
              <w:t>. However</w:t>
            </w:r>
            <w:r w:rsidRPr="008E781C">
              <w:rPr>
                <w:rFonts w:ascii="Century Gothic" w:hAnsi="Century Gothic"/>
                <w:bCs/>
                <w:sz w:val="18"/>
                <w:szCs w:val="18"/>
              </w:rPr>
              <w:t xml:space="preserve">, this </w:t>
            </w:r>
            <w:r w:rsidR="00BF7479" w:rsidRPr="008E781C">
              <w:rPr>
                <w:rFonts w:ascii="Century Gothic" w:hAnsi="Century Gothic"/>
                <w:bCs/>
                <w:sz w:val="18"/>
                <w:szCs w:val="18"/>
              </w:rPr>
              <w:t xml:space="preserve">can be implied </w:t>
            </w:r>
            <w:r w:rsidRPr="008E781C">
              <w:rPr>
                <w:rFonts w:ascii="Century Gothic" w:hAnsi="Century Gothic"/>
                <w:bCs/>
                <w:sz w:val="18"/>
                <w:szCs w:val="18"/>
              </w:rPr>
              <w:t>from the general principle of administrative law of solidarity among public authorities.</w:t>
            </w:r>
            <w:r w:rsidRPr="008E781C">
              <w:rPr>
                <w:rStyle w:val="FootnoteReference"/>
                <w:rFonts w:ascii="Century Gothic" w:hAnsi="Century Gothic"/>
                <w:bCs/>
                <w:sz w:val="18"/>
                <w:szCs w:val="18"/>
              </w:rPr>
              <w:footnoteReference w:id="168"/>
            </w:r>
          </w:p>
          <w:p w14:paraId="4A8DBDA1" w14:textId="0DB6AE90" w:rsidR="0009039B" w:rsidRPr="008E781C" w:rsidRDefault="0009039B" w:rsidP="000307F8">
            <w:pPr>
              <w:jc w:val="both"/>
              <w:rPr>
                <w:rFonts w:ascii="Century Gothic" w:hAnsi="Century Gothic"/>
                <w:bCs/>
                <w:sz w:val="18"/>
                <w:szCs w:val="18"/>
              </w:rPr>
            </w:pPr>
          </w:p>
        </w:tc>
      </w:tr>
      <w:tr w:rsidR="0009039B" w:rsidRPr="008E781C" w14:paraId="5239CB60" w14:textId="77777777" w:rsidTr="00A80347">
        <w:trPr>
          <w:trHeight w:val="1687"/>
        </w:trPr>
        <w:tc>
          <w:tcPr>
            <w:tcW w:w="770" w:type="pct"/>
            <w:shd w:val="clear" w:color="auto" w:fill="D9D9D9" w:themeFill="background1" w:themeFillShade="D9"/>
          </w:tcPr>
          <w:p w14:paraId="5E62D415" w14:textId="55672DE0"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lastRenderedPageBreak/>
              <w:t xml:space="preserve">An initial investment in </w:t>
            </w:r>
            <w:r w:rsidRPr="008E781C">
              <w:rPr>
                <w:rFonts w:ascii="Century Gothic" w:hAnsi="Century Gothic"/>
                <w:b/>
                <w:bCs/>
                <w:sz w:val="18"/>
                <w:szCs w:val="18"/>
              </w:rPr>
              <w:t>Spanish public debt securities</w:t>
            </w:r>
          </w:p>
        </w:tc>
        <w:tc>
          <w:tcPr>
            <w:tcW w:w="476" w:type="pct"/>
            <w:shd w:val="clear" w:color="auto" w:fill="D9D9D9" w:themeFill="background1" w:themeFillShade="D9"/>
          </w:tcPr>
          <w:p w14:paraId="6E113144" w14:textId="4C35CC41"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At least EUR</w:t>
            </w:r>
            <w:r w:rsidR="009245F7" w:rsidRPr="008E781C">
              <w:rPr>
                <w:rFonts w:ascii="Century Gothic" w:hAnsi="Century Gothic"/>
                <w:bCs/>
                <w:sz w:val="18"/>
                <w:szCs w:val="18"/>
              </w:rPr>
              <w:t xml:space="preserve"> </w:t>
            </w:r>
            <w:r w:rsidRPr="008E781C">
              <w:rPr>
                <w:rFonts w:ascii="Century Gothic" w:hAnsi="Century Gothic"/>
                <w:bCs/>
                <w:sz w:val="18"/>
                <w:szCs w:val="18"/>
              </w:rPr>
              <w:t>2 million</w:t>
            </w:r>
          </w:p>
          <w:p w14:paraId="0DA5C4F5" w14:textId="7341EFCE" w:rsidR="0009039B" w:rsidRPr="008E781C" w:rsidRDefault="0009039B" w:rsidP="00975581">
            <w:pPr>
              <w:jc w:val="both"/>
              <w:rPr>
                <w:rFonts w:ascii="Century Gothic" w:hAnsi="Century Gothic"/>
                <w:bCs/>
                <w:sz w:val="18"/>
                <w:szCs w:val="18"/>
              </w:rPr>
            </w:pPr>
          </w:p>
          <w:p w14:paraId="427275AC" w14:textId="1DDB7208" w:rsidR="0009039B" w:rsidRPr="008E781C" w:rsidRDefault="0009039B" w:rsidP="00975581">
            <w:pPr>
              <w:jc w:val="both"/>
              <w:rPr>
                <w:rFonts w:ascii="Century Gothic" w:hAnsi="Century Gothic"/>
                <w:bCs/>
                <w:sz w:val="18"/>
                <w:szCs w:val="18"/>
              </w:rPr>
            </w:pPr>
          </w:p>
          <w:p w14:paraId="106F14A1" w14:textId="04CFA100" w:rsidR="0009039B" w:rsidRPr="008E781C" w:rsidRDefault="0009039B" w:rsidP="00975581">
            <w:pPr>
              <w:jc w:val="both"/>
              <w:rPr>
                <w:rFonts w:ascii="Century Gothic" w:hAnsi="Century Gothic"/>
                <w:bCs/>
                <w:sz w:val="18"/>
                <w:szCs w:val="18"/>
              </w:rPr>
            </w:pPr>
          </w:p>
        </w:tc>
        <w:tc>
          <w:tcPr>
            <w:tcW w:w="2971" w:type="pct"/>
            <w:vMerge w:val="restart"/>
            <w:shd w:val="clear" w:color="auto" w:fill="D9D9D9" w:themeFill="background1" w:themeFillShade="D9"/>
          </w:tcPr>
          <w:p w14:paraId="5BA236B7" w14:textId="77777777" w:rsidR="00033E04" w:rsidRPr="008E781C" w:rsidRDefault="0009039B" w:rsidP="00975581">
            <w:pPr>
              <w:jc w:val="both"/>
              <w:rPr>
                <w:rFonts w:ascii="Century Gothic" w:hAnsi="Century Gothic"/>
                <w:bCs/>
                <w:sz w:val="18"/>
                <w:szCs w:val="18"/>
              </w:rPr>
            </w:pPr>
            <w:r w:rsidRPr="008E781C">
              <w:rPr>
                <w:rFonts w:ascii="Century Gothic" w:hAnsi="Century Gothic"/>
                <w:bCs/>
                <w:sz w:val="18"/>
                <w:szCs w:val="18"/>
              </w:rPr>
              <w:t>The</w:t>
            </w:r>
            <w:r w:rsidR="00033E04" w:rsidRPr="008E781C">
              <w:rPr>
                <w:rFonts w:ascii="Century Gothic" w:hAnsi="Century Gothic"/>
                <w:bCs/>
                <w:sz w:val="18"/>
                <w:szCs w:val="18"/>
              </w:rPr>
              <w:t xml:space="preserve"> table below shows the timing to present the necessary evidence and the possible evidence means depending on whether the application is for an investors’ residence visa or an investors’ residence authorisation.</w:t>
            </w:r>
          </w:p>
          <w:p w14:paraId="1F4743F8" w14:textId="0C074E80" w:rsidR="00033E04" w:rsidRPr="008E781C" w:rsidRDefault="00033E04" w:rsidP="00975581">
            <w:pPr>
              <w:jc w:val="both"/>
              <w:rPr>
                <w:rFonts w:ascii="Century Gothic" w:hAnsi="Century Gothic"/>
                <w:bCs/>
                <w:sz w:val="18"/>
                <w:szCs w:val="18"/>
              </w:rPr>
            </w:pPr>
          </w:p>
          <w:tbl>
            <w:tblPr>
              <w:tblStyle w:val="TableGrid"/>
              <w:tblW w:w="8314" w:type="dxa"/>
              <w:tblLook w:val="04A0" w:firstRow="1" w:lastRow="0" w:firstColumn="1" w:lastColumn="0" w:noHBand="0" w:noVBand="1"/>
            </w:tblPr>
            <w:tblGrid>
              <w:gridCol w:w="1345"/>
              <w:gridCol w:w="3000"/>
              <w:gridCol w:w="3969"/>
            </w:tblGrid>
            <w:tr w:rsidR="00EB2029" w:rsidRPr="008E781C" w14:paraId="6CCF8D50" w14:textId="77777777" w:rsidTr="00975581">
              <w:trPr>
                <w:trHeight w:val="2183"/>
                <w:tblHeader/>
              </w:trPr>
              <w:tc>
                <w:tcPr>
                  <w:tcW w:w="1345" w:type="dxa"/>
                  <w:tcBorders>
                    <w:tl2br w:val="single" w:sz="4" w:space="0" w:color="auto"/>
                  </w:tcBorders>
                  <w:shd w:val="clear" w:color="auto" w:fill="4F81BD" w:themeFill="accent1"/>
                </w:tcPr>
                <w:p w14:paraId="790CE5B6" w14:textId="77777777" w:rsidR="00EB2029" w:rsidRPr="008E781C" w:rsidRDefault="00EB2029" w:rsidP="00975581">
                  <w:pPr>
                    <w:ind w:left="131" w:hanging="131"/>
                    <w:jc w:val="both"/>
                    <w:rPr>
                      <w:rFonts w:ascii="Century Gothic" w:hAnsi="Century Gothic"/>
                      <w:b/>
                      <w:bCs/>
                      <w:sz w:val="18"/>
                      <w:szCs w:val="18"/>
                    </w:rPr>
                  </w:pPr>
                  <w:r w:rsidRPr="008E781C">
                    <w:rPr>
                      <w:rFonts w:ascii="Century Gothic" w:hAnsi="Century Gothic"/>
                      <w:b/>
                      <w:bCs/>
                      <w:sz w:val="18"/>
                      <w:szCs w:val="18"/>
                    </w:rPr>
                    <w:t>Type of application</w:t>
                  </w:r>
                </w:p>
                <w:p w14:paraId="5EBF7191" w14:textId="77777777" w:rsidR="00EB2029" w:rsidRPr="008E781C" w:rsidRDefault="00EB2029" w:rsidP="00975581">
                  <w:pPr>
                    <w:ind w:left="131" w:hanging="131"/>
                    <w:jc w:val="both"/>
                    <w:rPr>
                      <w:rFonts w:ascii="Century Gothic" w:hAnsi="Century Gothic"/>
                      <w:b/>
                      <w:bCs/>
                      <w:sz w:val="18"/>
                      <w:szCs w:val="18"/>
                    </w:rPr>
                  </w:pPr>
                </w:p>
                <w:p w14:paraId="23568BC4" w14:textId="77777777" w:rsidR="00EB2029" w:rsidRPr="008E781C" w:rsidRDefault="00EB2029" w:rsidP="00975581">
                  <w:pPr>
                    <w:ind w:left="131" w:hanging="131"/>
                    <w:jc w:val="both"/>
                    <w:rPr>
                      <w:rFonts w:ascii="Century Gothic" w:hAnsi="Century Gothic"/>
                      <w:b/>
                      <w:bCs/>
                      <w:sz w:val="18"/>
                      <w:szCs w:val="18"/>
                    </w:rPr>
                  </w:pPr>
                </w:p>
                <w:p w14:paraId="20833ACC" w14:textId="77777777" w:rsidR="00BB6838" w:rsidRPr="008E781C" w:rsidRDefault="00BB6838" w:rsidP="00975581">
                  <w:pPr>
                    <w:jc w:val="both"/>
                    <w:rPr>
                      <w:rFonts w:ascii="Century Gothic" w:hAnsi="Century Gothic"/>
                      <w:b/>
                      <w:bCs/>
                      <w:sz w:val="18"/>
                      <w:szCs w:val="18"/>
                    </w:rPr>
                  </w:pPr>
                </w:p>
                <w:p w14:paraId="25E203E9" w14:textId="77777777" w:rsidR="00EB2029" w:rsidRPr="008E781C" w:rsidRDefault="00EB2029" w:rsidP="00975581">
                  <w:pPr>
                    <w:ind w:left="131" w:hanging="131"/>
                    <w:jc w:val="both"/>
                    <w:rPr>
                      <w:rFonts w:ascii="Century Gothic" w:hAnsi="Century Gothic"/>
                      <w:b/>
                      <w:bCs/>
                      <w:sz w:val="18"/>
                      <w:szCs w:val="18"/>
                    </w:rPr>
                  </w:pPr>
                </w:p>
                <w:p w14:paraId="232A6FF4" w14:textId="77777777" w:rsidR="00EB2029" w:rsidRPr="008E781C" w:rsidRDefault="00EB2029" w:rsidP="00975581">
                  <w:pPr>
                    <w:jc w:val="both"/>
                    <w:rPr>
                      <w:rFonts w:ascii="Century Gothic" w:hAnsi="Century Gothic"/>
                      <w:b/>
                      <w:bCs/>
                      <w:sz w:val="18"/>
                      <w:szCs w:val="18"/>
                    </w:rPr>
                  </w:pPr>
                  <w:r w:rsidRPr="008E781C">
                    <w:rPr>
                      <w:rFonts w:ascii="Century Gothic" w:hAnsi="Century Gothic"/>
                      <w:b/>
                      <w:bCs/>
                      <w:sz w:val="18"/>
                      <w:szCs w:val="18"/>
                    </w:rPr>
                    <w:t xml:space="preserve">Timing </w:t>
                  </w:r>
                </w:p>
                <w:p w14:paraId="758C7A99" w14:textId="77777777" w:rsidR="00EB2029" w:rsidRPr="008E781C" w:rsidRDefault="00EB2029" w:rsidP="00975581">
                  <w:pPr>
                    <w:jc w:val="both"/>
                    <w:rPr>
                      <w:rFonts w:ascii="Century Gothic" w:hAnsi="Century Gothic"/>
                      <w:b/>
                      <w:bCs/>
                      <w:sz w:val="18"/>
                      <w:szCs w:val="18"/>
                    </w:rPr>
                  </w:pPr>
                  <w:r w:rsidRPr="008E781C">
                    <w:rPr>
                      <w:rFonts w:ascii="Century Gothic" w:hAnsi="Century Gothic"/>
                      <w:b/>
                      <w:bCs/>
                      <w:sz w:val="18"/>
                      <w:szCs w:val="18"/>
                    </w:rPr>
                    <w:t>and type</w:t>
                  </w:r>
                </w:p>
                <w:p w14:paraId="540291F5" w14:textId="74BD261E" w:rsidR="00EB2029" w:rsidRPr="008E781C" w:rsidRDefault="00EB2029" w:rsidP="00975581">
                  <w:pPr>
                    <w:jc w:val="both"/>
                    <w:rPr>
                      <w:rFonts w:ascii="Century Gothic" w:hAnsi="Century Gothic"/>
                      <w:b/>
                      <w:bCs/>
                      <w:sz w:val="18"/>
                      <w:szCs w:val="18"/>
                    </w:rPr>
                  </w:pPr>
                  <w:r w:rsidRPr="008E781C">
                    <w:rPr>
                      <w:rFonts w:ascii="Century Gothic" w:hAnsi="Century Gothic"/>
                      <w:b/>
                      <w:bCs/>
                      <w:sz w:val="18"/>
                      <w:szCs w:val="18"/>
                    </w:rPr>
                    <w:t>of investment</w:t>
                  </w:r>
                </w:p>
              </w:tc>
              <w:tc>
                <w:tcPr>
                  <w:tcW w:w="3000" w:type="dxa"/>
                  <w:shd w:val="clear" w:color="auto" w:fill="4F81BD" w:themeFill="accent1"/>
                </w:tcPr>
                <w:p w14:paraId="01A64424" w14:textId="40751BEF"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t>Application for an investors’ residence VISA</w:t>
                  </w:r>
                  <w:r w:rsidRPr="008E781C">
                    <w:rPr>
                      <w:rStyle w:val="FootnoteReference"/>
                      <w:rFonts w:ascii="Century Gothic" w:hAnsi="Century Gothic"/>
                      <w:b/>
                      <w:bCs/>
                      <w:sz w:val="18"/>
                      <w:szCs w:val="18"/>
                    </w:rPr>
                    <w:footnoteReference w:id="169"/>
                  </w:r>
                  <w:r w:rsidRPr="008E781C">
                    <w:rPr>
                      <w:rFonts w:ascii="Century Gothic" w:hAnsi="Century Gothic"/>
                      <w:b/>
                      <w:bCs/>
                      <w:sz w:val="18"/>
                      <w:szCs w:val="18"/>
                    </w:rPr>
                    <w:t xml:space="preserve"> and for an application for an investors’ residence AUTHORISATION when the applicant does not hold a previous residence visa but is legally in Spain</w:t>
                  </w:r>
                  <w:r w:rsidRPr="008E781C">
                    <w:rPr>
                      <w:rStyle w:val="FootnoteReference"/>
                      <w:rFonts w:ascii="Century Gothic" w:hAnsi="Century Gothic"/>
                      <w:b/>
                      <w:bCs/>
                      <w:sz w:val="18"/>
                      <w:szCs w:val="18"/>
                    </w:rPr>
                    <w:footnoteReference w:id="170"/>
                  </w:r>
                </w:p>
              </w:tc>
              <w:tc>
                <w:tcPr>
                  <w:tcW w:w="3969" w:type="dxa"/>
                  <w:shd w:val="clear" w:color="auto" w:fill="4F81BD" w:themeFill="accent1"/>
                </w:tcPr>
                <w:p w14:paraId="6A21941E" w14:textId="77777777" w:rsidR="00EB2029" w:rsidRPr="008E781C" w:rsidRDefault="00EB2029" w:rsidP="00975581">
                  <w:pPr>
                    <w:jc w:val="both"/>
                    <w:rPr>
                      <w:rFonts w:ascii="Century Gothic" w:hAnsi="Century Gothic"/>
                      <w:b/>
                      <w:bCs/>
                      <w:sz w:val="18"/>
                      <w:szCs w:val="18"/>
                    </w:rPr>
                  </w:pPr>
                  <w:r w:rsidRPr="008E781C">
                    <w:rPr>
                      <w:rFonts w:ascii="Century Gothic" w:hAnsi="Century Gothic"/>
                      <w:b/>
                      <w:bCs/>
                      <w:sz w:val="18"/>
                      <w:szCs w:val="18"/>
                    </w:rPr>
                    <w:t>Application for an investors’ residence AUTHORISATION and the applicant holds a previous residence visa</w:t>
                  </w:r>
                  <w:r w:rsidRPr="008E781C">
                    <w:rPr>
                      <w:rStyle w:val="FootnoteReference"/>
                      <w:rFonts w:ascii="Century Gothic" w:hAnsi="Century Gothic"/>
                      <w:b/>
                      <w:bCs/>
                      <w:sz w:val="18"/>
                      <w:szCs w:val="18"/>
                    </w:rPr>
                    <w:footnoteReference w:id="171"/>
                  </w:r>
                </w:p>
                <w:p w14:paraId="68465248" w14:textId="0ED24B70" w:rsidR="00EB2029" w:rsidRPr="008E781C" w:rsidRDefault="00EB2029" w:rsidP="00975581">
                  <w:pPr>
                    <w:jc w:val="both"/>
                    <w:rPr>
                      <w:rFonts w:ascii="Century Gothic" w:hAnsi="Century Gothic"/>
                      <w:b/>
                      <w:bCs/>
                      <w:sz w:val="18"/>
                      <w:szCs w:val="18"/>
                    </w:rPr>
                  </w:pPr>
                </w:p>
              </w:tc>
            </w:tr>
            <w:tr w:rsidR="00EB2029" w:rsidRPr="008E781C" w14:paraId="486F76EB" w14:textId="77777777" w:rsidTr="00975581">
              <w:tc>
                <w:tcPr>
                  <w:tcW w:w="1345" w:type="dxa"/>
                  <w:shd w:val="clear" w:color="auto" w:fill="B8CCE4" w:themeFill="accent1" w:themeFillTint="66"/>
                </w:tcPr>
                <w:p w14:paraId="2A1D06EA" w14:textId="170B12B1" w:rsidR="00EB2029" w:rsidRPr="008E781C" w:rsidRDefault="00EB2029" w:rsidP="00975581">
                  <w:pPr>
                    <w:jc w:val="both"/>
                    <w:rPr>
                      <w:rFonts w:ascii="Century Gothic" w:hAnsi="Century Gothic"/>
                      <w:b/>
                      <w:bCs/>
                      <w:sz w:val="18"/>
                      <w:szCs w:val="18"/>
                    </w:rPr>
                  </w:pPr>
                  <w:r w:rsidRPr="008E781C">
                    <w:rPr>
                      <w:rFonts w:ascii="Century Gothic" w:hAnsi="Century Gothic"/>
                      <w:b/>
                      <w:bCs/>
                      <w:sz w:val="18"/>
                      <w:szCs w:val="18"/>
                    </w:rPr>
                    <w:t>Timing to present the evidentiary documents</w:t>
                  </w:r>
                </w:p>
              </w:tc>
              <w:tc>
                <w:tcPr>
                  <w:tcW w:w="3000" w:type="dxa"/>
                  <w:shd w:val="clear" w:color="auto" w:fill="DBE5F1" w:themeFill="accent1" w:themeFillTint="33"/>
                </w:tcPr>
                <w:p w14:paraId="369F158D" w14:textId="79ECB21C"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a period not exceeding </w:t>
                  </w:r>
                  <w:r w:rsidRPr="008E781C">
                    <w:rPr>
                      <w:rFonts w:ascii="Century Gothic" w:hAnsi="Century Gothic"/>
                      <w:b/>
                      <w:bCs/>
                      <w:sz w:val="18"/>
                      <w:szCs w:val="18"/>
                    </w:rPr>
                    <w:t xml:space="preserve">one year since the application for an investors’ residence visa </w:t>
                  </w:r>
                  <w:r w:rsidRPr="008E781C">
                    <w:rPr>
                      <w:rFonts w:ascii="Century Gothic" w:hAnsi="Century Gothic"/>
                      <w:bCs/>
                      <w:sz w:val="18"/>
                      <w:szCs w:val="18"/>
                    </w:rPr>
                    <w:t>was filed</w:t>
                  </w:r>
                  <w:r w:rsidRPr="008E781C">
                    <w:rPr>
                      <w:rStyle w:val="FootnoteReference"/>
                      <w:rFonts w:ascii="Century Gothic" w:hAnsi="Century Gothic"/>
                      <w:bCs/>
                      <w:sz w:val="18"/>
                      <w:szCs w:val="18"/>
                    </w:rPr>
                    <w:footnoteReference w:id="172"/>
                  </w:r>
                  <w:r w:rsidRPr="008E781C">
                    <w:rPr>
                      <w:rFonts w:ascii="Century Gothic" w:hAnsi="Century Gothic"/>
                      <w:bCs/>
                      <w:sz w:val="18"/>
                      <w:szCs w:val="18"/>
                    </w:rPr>
                    <w:t xml:space="preserve"> </w:t>
                  </w:r>
                </w:p>
              </w:tc>
              <w:tc>
                <w:tcPr>
                  <w:tcW w:w="3969" w:type="dxa"/>
                  <w:shd w:val="clear" w:color="auto" w:fill="DBE5F1" w:themeFill="accent1" w:themeFillTint="33"/>
                </w:tcPr>
                <w:p w14:paraId="00E41111" w14:textId="46C391EF"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t>Together with the application</w:t>
                  </w:r>
                  <w:r w:rsidRPr="008E781C">
                    <w:rPr>
                      <w:rFonts w:ascii="Century Gothic" w:hAnsi="Century Gothic"/>
                      <w:bCs/>
                      <w:sz w:val="18"/>
                      <w:szCs w:val="18"/>
                    </w:rPr>
                    <w:t xml:space="preserve"> for a residence authorisation for investors.</w:t>
                  </w:r>
                  <w:r w:rsidRPr="008E781C">
                    <w:rPr>
                      <w:rStyle w:val="FootnoteReference"/>
                      <w:rFonts w:ascii="Century Gothic" w:hAnsi="Century Gothic"/>
                      <w:bCs/>
                      <w:sz w:val="18"/>
                      <w:szCs w:val="18"/>
                    </w:rPr>
                    <w:footnoteReference w:id="173"/>
                  </w:r>
                  <w:r w:rsidRPr="008E781C">
                    <w:rPr>
                      <w:rFonts w:ascii="Century Gothic" w:hAnsi="Century Gothic"/>
                      <w:bCs/>
                      <w:sz w:val="18"/>
                      <w:szCs w:val="18"/>
                    </w:rPr>
                    <w:t xml:space="preserve"> In any case, the </w:t>
                  </w:r>
                  <w:r w:rsidRPr="008E781C">
                    <w:rPr>
                      <w:rFonts w:ascii="Century Gothic" w:hAnsi="Century Gothic"/>
                      <w:b/>
                      <w:bCs/>
                      <w:sz w:val="18"/>
                      <w:szCs w:val="18"/>
                    </w:rPr>
                    <w:t>certificates</w:t>
                  </w:r>
                  <w:r w:rsidRPr="008E781C">
                    <w:rPr>
                      <w:rFonts w:ascii="Century Gothic" w:hAnsi="Century Gothic"/>
                      <w:bCs/>
                      <w:sz w:val="18"/>
                      <w:szCs w:val="18"/>
                    </w:rPr>
                    <w:t xml:space="preserve"> listed below must be </w:t>
                  </w:r>
                  <w:r w:rsidRPr="008E781C">
                    <w:rPr>
                      <w:rFonts w:ascii="Century Gothic" w:hAnsi="Century Gothic"/>
                      <w:b/>
                      <w:bCs/>
                      <w:sz w:val="18"/>
                      <w:szCs w:val="18"/>
                    </w:rPr>
                    <w:t>dated at least within the 30 days prior to the submission of the application</w:t>
                  </w:r>
                  <w:r w:rsidRPr="008E781C">
                    <w:rPr>
                      <w:rFonts w:ascii="Century Gothic" w:hAnsi="Century Gothic"/>
                      <w:bCs/>
                      <w:sz w:val="18"/>
                      <w:szCs w:val="18"/>
                    </w:rPr>
                    <w:t xml:space="preserve"> for an investors’ residence authorisation.</w:t>
                  </w:r>
                  <w:r w:rsidRPr="008E781C">
                    <w:rPr>
                      <w:rStyle w:val="FootnoteReference"/>
                      <w:rFonts w:ascii="Century Gothic" w:hAnsi="Century Gothic"/>
                      <w:bCs/>
                      <w:sz w:val="18"/>
                      <w:szCs w:val="18"/>
                    </w:rPr>
                    <w:footnoteReference w:id="174"/>
                  </w:r>
                </w:p>
              </w:tc>
            </w:tr>
            <w:tr w:rsidR="00EB2029" w:rsidRPr="008E781C" w14:paraId="266C56DC" w14:textId="77777777" w:rsidTr="00975581">
              <w:tc>
                <w:tcPr>
                  <w:tcW w:w="1345" w:type="dxa"/>
                  <w:shd w:val="clear" w:color="auto" w:fill="B8CCE4" w:themeFill="accent1" w:themeFillTint="66"/>
                </w:tcPr>
                <w:p w14:paraId="7731E29F" w14:textId="7257C5DC"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When the investment consists in </w:t>
                  </w:r>
                  <w:r w:rsidRPr="008E781C">
                    <w:rPr>
                      <w:rFonts w:ascii="Century Gothic" w:hAnsi="Century Gothic"/>
                      <w:b/>
                      <w:bCs/>
                      <w:sz w:val="18"/>
                      <w:szCs w:val="18"/>
                    </w:rPr>
                    <w:t xml:space="preserve">non-tradable shares or in </w:t>
                  </w:r>
                  <w:r w:rsidRPr="008E781C">
                    <w:rPr>
                      <w:rFonts w:ascii="Century Gothic" w:hAnsi="Century Gothic"/>
                      <w:b/>
                      <w:bCs/>
                      <w:sz w:val="18"/>
                      <w:szCs w:val="18"/>
                    </w:rPr>
                    <w:lastRenderedPageBreak/>
                    <w:t>company shares</w:t>
                  </w:r>
                  <w:r w:rsidRPr="008E781C">
                    <w:rPr>
                      <w:rStyle w:val="FootnoteReference"/>
                      <w:rFonts w:ascii="Century Gothic" w:hAnsi="Century Gothic"/>
                      <w:bCs/>
                      <w:sz w:val="18"/>
                      <w:szCs w:val="18"/>
                    </w:rPr>
                    <w:footnoteReference w:id="175"/>
                  </w:r>
                </w:p>
              </w:tc>
              <w:tc>
                <w:tcPr>
                  <w:tcW w:w="3000" w:type="dxa"/>
                  <w:shd w:val="clear" w:color="auto" w:fill="DBE5F1" w:themeFill="accent1" w:themeFillTint="33"/>
                </w:tcPr>
                <w:p w14:paraId="4FCFDD7B" w14:textId="0944F080"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lastRenderedPageBreak/>
                    <w:t>statement</w:t>
                  </w:r>
                  <w:r w:rsidRPr="008E781C">
                    <w:rPr>
                      <w:rFonts w:ascii="Century Gothic" w:hAnsi="Century Gothic"/>
                      <w:bCs/>
                      <w:sz w:val="18"/>
                      <w:szCs w:val="18"/>
                    </w:rPr>
                    <w:t xml:space="preserve"> of the investment made in the </w:t>
                  </w:r>
                  <w:r w:rsidRPr="008E781C">
                    <w:rPr>
                      <w:rFonts w:ascii="Century Gothic" w:hAnsi="Century Gothic"/>
                      <w:b/>
                      <w:bCs/>
                      <w:sz w:val="18"/>
                      <w:szCs w:val="18"/>
                    </w:rPr>
                    <w:t>Foreign Investment Registry</w:t>
                  </w:r>
                  <w:r w:rsidRPr="008E781C">
                    <w:rPr>
                      <w:rFonts w:ascii="Century Gothic" w:hAnsi="Century Gothic"/>
                      <w:bCs/>
                      <w:sz w:val="18"/>
                      <w:szCs w:val="18"/>
                    </w:rPr>
                    <w:t xml:space="preserve"> of the Ministry of Economy and Competitiveness (</w:t>
                  </w:r>
                  <w:r w:rsidRPr="008E781C">
                    <w:rPr>
                      <w:rFonts w:ascii="Century Gothic" w:hAnsi="Century Gothic"/>
                      <w:bCs/>
                      <w:i/>
                      <w:sz w:val="18"/>
                      <w:szCs w:val="18"/>
                    </w:rPr>
                    <w:t xml:space="preserve">Registro de Inversiones </w:t>
                  </w:r>
                  <w:r w:rsidRPr="008E781C">
                    <w:rPr>
                      <w:rFonts w:ascii="Century Gothic" w:hAnsi="Century Gothic"/>
                      <w:bCs/>
                      <w:i/>
                      <w:sz w:val="18"/>
                      <w:szCs w:val="18"/>
                    </w:rPr>
                    <w:lastRenderedPageBreak/>
                    <w:t>Exteriores del Ministerio de Economía y Competitividad</w:t>
                  </w:r>
                  <w:r w:rsidRPr="008E781C">
                    <w:rPr>
                      <w:rFonts w:ascii="Century Gothic" w:hAnsi="Century Gothic"/>
                      <w:bCs/>
                      <w:sz w:val="18"/>
                      <w:szCs w:val="18"/>
                    </w:rPr>
                    <w:t>).</w:t>
                  </w:r>
                  <w:r w:rsidRPr="008E781C">
                    <w:rPr>
                      <w:rFonts w:ascii="Century Gothic" w:hAnsi="Century Gothic"/>
                      <w:bCs/>
                      <w:sz w:val="18"/>
                      <w:szCs w:val="18"/>
                      <w:vertAlign w:val="superscript"/>
                    </w:rPr>
                    <w:footnoteReference w:id="176"/>
                  </w:r>
                </w:p>
              </w:tc>
              <w:tc>
                <w:tcPr>
                  <w:tcW w:w="3969" w:type="dxa"/>
                  <w:shd w:val="clear" w:color="auto" w:fill="DBE5F1" w:themeFill="accent1" w:themeFillTint="33"/>
                </w:tcPr>
                <w:p w14:paraId="1C8E9EBC" w14:textId="47284FD4"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lastRenderedPageBreak/>
                    <w:t>notary’s certificate</w:t>
                  </w:r>
                  <w:r w:rsidRPr="008E781C">
                    <w:rPr>
                      <w:rFonts w:ascii="Century Gothic" w:hAnsi="Century Gothic"/>
                      <w:bCs/>
                      <w:sz w:val="18"/>
                      <w:szCs w:val="18"/>
                    </w:rPr>
                    <w:t xml:space="preserve"> proving that the investor has continued to own the non-tradable shares or company shares during the reference period (i.e. period of validity of the investors’ residence visa – at least 1 year).</w:t>
                  </w:r>
                  <w:r w:rsidRPr="008E781C">
                    <w:rPr>
                      <w:rStyle w:val="FootnoteReference"/>
                      <w:rFonts w:ascii="Century Gothic" w:hAnsi="Century Gothic"/>
                      <w:bCs/>
                      <w:sz w:val="18"/>
                      <w:szCs w:val="18"/>
                    </w:rPr>
                    <w:footnoteReference w:id="177"/>
                  </w:r>
                  <w:r w:rsidRPr="008E781C">
                    <w:rPr>
                      <w:rFonts w:ascii="Century Gothic" w:hAnsi="Century Gothic"/>
                      <w:bCs/>
                      <w:sz w:val="18"/>
                      <w:szCs w:val="18"/>
                    </w:rPr>
                    <w:t xml:space="preserve"> </w:t>
                  </w:r>
                </w:p>
              </w:tc>
            </w:tr>
            <w:tr w:rsidR="00EB2029" w:rsidRPr="008E781C" w14:paraId="207D8BFB" w14:textId="77777777" w:rsidTr="00975581">
              <w:tc>
                <w:tcPr>
                  <w:tcW w:w="1345" w:type="dxa"/>
                  <w:shd w:val="clear" w:color="auto" w:fill="B8CCE4" w:themeFill="accent1" w:themeFillTint="66"/>
                </w:tcPr>
                <w:p w14:paraId="254CF11E" w14:textId="7C144647"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When the investment consists in </w:t>
                  </w:r>
                  <w:r w:rsidRPr="008E781C">
                    <w:rPr>
                      <w:rFonts w:ascii="Century Gothic" w:hAnsi="Century Gothic"/>
                      <w:b/>
                      <w:bCs/>
                      <w:sz w:val="18"/>
                      <w:szCs w:val="18"/>
                    </w:rPr>
                    <w:t>tradable shares</w:t>
                  </w:r>
                </w:p>
              </w:tc>
              <w:tc>
                <w:tcPr>
                  <w:tcW w:w="3000" w:type="dxa"/>
                  <w:shd w:val="clear" w:color="auto" w:fill="DBE5F1" w:themeFill="accent1" w:themeFillTint="33"/>
                </w:tcPr>
                <w:p w14:paraId="13CAD269" w14:textId="6131B793"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t>certificate from the financial intermediary</w:t>
                  </w:r>
                  <w:r w:rsidRPr="008E781C">
                    <w:rPr>
                      <w:rFonts w:ascii="Century Gothic" w:hAnsi="Century Gothic"/>
                      <w:bCs/>
                      <w:sz w:val="18"/>
                      <w:szCs w:val="18"/>
                    </w:rPr>
                    <w:t>, duly registered with the CNMV or with the Bank of Spain stating that the interested party has made the investment for the purpose of the investor’s visa, in case of investment made through listed shares.</w:t>
                  </w:r>
                </w:p>
              </w:tc>
              <w:tc>
                <w:tcPr>
                  <w:tcW w:w="3969" w:type="dxa"/>
                  <w:shd w:val="clear" w:color="auto" w:fill="DBE5F1" w:themeFill="accent1" w:themeFillTint="33"/>
                </w:tcPr>
                <w:p w14:paraId="21CBBF7B" w14:textId="4351523F"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certificate from the financial intermediary stating that the investor has kept the investment at an average value of EUR 1 million invested in shares from the issuance date of the investors’ residence visa</w:t>
                  </w:r>
                  <w:r w:rsidRPr="008E781C">
                    <w:rPr>
                      <w:rStyle w:val="FootnoteReference"/>
                      <w:rFonts w:ascii="Century Gothic" w:hAnsi="Century Gothic"/>
                      <w:bCs/>
                      <w:sz w:val="18"/>
                      <w:szCs w:val="18"/>
                    </w:rPr>
                    <w:footnoteReference w:id="178"/>
                  </w:r>
                </w:p>
              </w:tc>
            </w:tr>
            <w:tr w:rsidR="00EB2029" w:rsidRPr="008E781C" w14:paraId="46922073" w14:textId="77777777" w:rsidTr="00975581">
              <w:tc>
                <w:tcPr>
                  <w:tcW w:w="1345" w:type="dxa"/>
                  <w:shd w:val="clear" w:color="auto" w:fill="B8CCE4" w:themeFill="accent1" w:themeFillTint="66"/>
                </w:tcPr>
                <w:p w14:paraId="0B6FDBCD" w14:textId="2B14ABD1"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When the investment is in </w:t>
                  </w:r>
                  <w:r w:rsidRPr="008E781C">
                    <w:rPr>
                      <w:rFonts w:ascii="Century Gothic" w:hAnsi="Century Gothic"/>
                      <w:b/>
                      <w:bCs/>
                      <w:sz w:val="18"/>
                      <w:szCs w:val="18"/>
                    </w:rPr>
                    <w:t>public debt</w:t>
                  </w:r>
                </w:p>
              </w:tc>
              <w:tc>
                <w:tcPr>
                  <w:tcW w:w="3000" w:type="dxa"/>
                  <w:shd w:val="clear" w:color="auto" w:fill="DBE5F1" w:themeFill="accent1" w:themeFillTint="33"/>
                </w:tcPr>
                <w:p w14:paraId="5D50031D" w14:textId="2149A30A"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t>certificate from the financial institution or the Bank of Spain</w:t>
                  </w:r>
                  <w:r w:rsidRPr="008E781C">
                    <w:rPr>
                      <w:rFonts w:ascii="Century Gothic" w:hAnsi="Century Gothic"/>
                      <w:bCs/>
                      <w:sz w:val="18"/>
                      <w:szCs w:val="18"/>
                    </w:rPr>
                    <w:t xml:space="preserve"> stating that the applicant is the sole owner of the investment for a period of 5 years or more </w:t>
                  </w:r>
                </w:p>
              </w:tc>
              <w:tc>
                <w:tcPr>
                  <w:tcW w:w="3969" w:type="dxa"/>
                  <w:shd w:val="clear" w:color="auto" w:fill="DBE5F1" w:themeFill="accent1" w:themeFillTint="33"/>
                </w:tcPr>
                <w:p w14:paraId="68868684" w14:textId="77777777"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certificate from the financial institution or the Bank of Spain stating: </w:t>
                  </w:r>
                </w:p>
                <w:p w14:paraId="0BE37183" w14:textId="77777777"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(a) the investment has been kept or increased since the date in which the investors’ residence visa was granted;</w:t>
                  </w:r>
                </w:p>
                <w:p w14:paraId="142E12C1" w14:textId="2F867639"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(b) the number of public debt titles acquired by the investor at the time when the initial investment was made</w:t>
                  </w:r>
                  <w:r w:rsidRPr="008E781C">
                    <w:rPr>
                      <w:rStyle w:val="FootnoteReference"/>
                      <w:rFonts w:ascii="Century Gothic" w:hAnsi="Century Gothic"/>
                      <w:bCs/>
                      <w:sz w:val="18"/>
                      <w:szCs w:val="18"/>
                    </w:rPr>
                    <w:footnoteReference w:id="179"/>
                  </w:r>
                </w:p>
              </w:tc>
            </w:tr>
            <w:tr w:rsidR="00EB2029" w:rsidRPr="008E781C" w14:paraId="1263E11B" w14:textId="77777777" w:rsidTr="00975581">
              <w:tc>
                <w:tcPr>
                  <w:tcW w:w="1345" w:type="dxa"/>
                  <w:shd w:val="clear" w:color="auto" w:fill="B8CCE4" w:themeFill="accent1" w:themeFillTint="66"/>
                </w:tcPr>
                <w:p w14:paraId="6EF3A74D" w14:textId="2072A75F"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When the investment is in </w:t>
                  </w:r>
                  <w:r w:rsidRPr="008E781C">
                    <w:rPr>
                      <w:rFonts w:ascii="Century Gothic" w:hAnsi="Century Gothic"/>
                      <w:b/>
                      <w:bCs/>
                      <w:sz w:val="18"/>
                      <w:szCs w:val="18"/>
                    </w:rPr>
                    <w:t>investment funds, close-</w:t>
                  </w:r>
                  <w:r w:rsidRPr="008E781C">
                    <w:rPr>
                      <w:rFonts w:ascii="Century Gothic" w:hAnsi="Century Gothic"/>
                      <w:b/>
                      <w:bCs/>
                      <w:sz w:val="18"/>
                      <w:szCs w:val="18"/>
                    </w:rPr>
                    <w:lastRenderedPageBreak/>
                    <w:t>end investment funds or venture capital funds</w:t>
                  </w:r>
                  <w:r w:rsidRPr="008E781C">
                    <w:rPr>
                      <w:rFonts w:ascii="Century Gothic" w:hAnsi="Century Gothic"/>
                      <w:bCs/>
                      <w:sz w:val="18"/>
                      <w:szCs w:val="18"/>
                    </w:rPr>
                    <w:t xml:space="preserve"> </w:t>
                  </w:r>
                </w:p>
              </w:tc>
              <w:tc>
                <w:tcPr>
                  <w:tcW w:w="3000" w:type="dxa"/>
                  <w:shd w:val="clear" w:color="auto" w:fill="DBE5F1" w:themeFill="accent1" w:themeFillTint="33"/>
                </w:tcPr>
                <w:p w14:paraId="146638C6" w14:textId="1BEE96A4"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lastRenderedPageBreak/>
                    <w:t>certificate of the fund's management company</w:t>
                  </w:r>
                  <w:r w:rsidRPr="008E781C">
                    <w:rPr>
                      <w:rFonts w:ascii="Century Gothic" w:hAnsi="Century Gothic"/>
                      <w:bCs/>
                      <w:sz w:val="18"/>
                      <w:szCs w:val="18"/>
                    </w:rPr>
                    <w:t>, set up in Spain, duly registered with the CNMV certifying that the investment has been made</w:t>
                  </w:r>
                </w:p>
              </w:tc>
              <w:tc>
                <w:tcPr>
                  <w:tcW w:w="3969" w:type="dxa"/>
                  <w:shd w:val="clear" w:color="auto" w:fill="DBE5F1" w:themeFill="accent1" w:themeFillTint="33"/>
                </w:tcPr>
                <w:p w14:paraId="0A2040D5" w14:textId="30F8835F"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 xml:space="preserve">same certificate of the fund's management company but now stating that the investor has kept, since the issuance date of the investors’ residence visa, at least in an </w:t>
                  </w:r>
                  <w:r w:rsidRPr="008E781C">
                    <w:rPr>
                      <w:rFonts w:ascii="Century Gothic" w:hAnsi="Century Gothic"/>
                      <w:bCs/>
                      <w:sz w:val="18"/>
                      <w:szCs w:val="18"/>
                    </w:rPr>
                    <w:lastRenderedPageBreak/>
                    <w:t>average value of EUR 1 million invested in an investment fund</w:t>
                  </w:r>
                  <w:r w:rsidRPr="008E781C">
                    <w:rPr>
                      <w:rStyle w:val="FootnoteReference"/>
                      <w:rFonts w:ascii="Century Gothic" w:hAnsi="Century Gothic"/>
                      <w:bCs/>
                      <w:sz w:val="18"/>
                      <w:szCs w:val="18"/>
                    </w:rPr>
                    <w:footnoteReference w:id="180"/>
                  </w:r>
                </w:p>
              </w:tc>
            </w:tr>
            <w:tr w:rsidR="00EB2029" w:rsidRPr="008E781C" w14:paraId="0EAC5946" w14:textId="77777777" w:rsidTr="00975581">
              <w:tc>
                <w:tcPr>
                  <w:tcW w:w="1345" w:type="dxa"/>
                  <w:shd w:val="clear" w:color="auto" w:fill="B8CCE4" w:themeFill="accent1" w:themeFillTint="66"/>
                </w:tcPr>
                <w:p w14:paraId="32E167F7" w14:textId="44BF21CA" w:rsidR="00EB2029" w:rsidRPr="008E781C" w:rsidRDefault="00EB2029" w:rsidP="00975581">
                  <w:pPr>
                    <w:jc w:val="both"/>
                    <w:rPr>
                      <w:rFonts w:ascii="Century Gothic" w:hAnsi="Century Gothic"/>
                      <w:b/>
                      <w:bCs/>
                      <w:sz w:val="18"/>
                      <w:szCs w:val="18"/>
                    </w:rPr>
                  </w:pPr>
                  <w:r w:rsidRPr="008E781C">
                    <w:rPr>
                      <w:rFonts w:ascii="Century Gothic" w:hAnsi="Century Gothic"/>
                      <w:bCs/>
                      <w:sz w:val="18"/>
                      <w:szCs w:val="18"/>
                    </w:rPr>
                    <w:lastRenderedPageBreak/>
                    <w:t xml:space="preserve">When the investment is a </w:t>
                  </w:r>
                  <w:r w:rsidRPr="008E781C">
                    <w:rPr>
                      <w:rFonts w:ascii="Century Gothic" w:hAnsi="Century Gothic"/>
                      <w:b/>
                      <w:bCs/>
                      <w:sz w:val="18"/>
                      <w:szCs w:val="18"/>
                    </w:rPr>
                    <w:t>bank deposit</w:t>
                  </w:r>
                </w:p>
              </w:tc>
              <w:tc>
                <w:tcPr>
                  <w:tcW w:w="3000" w:type="dxa"/>
                  <w:shd w:val="clear" w:color="auto" w:fill="DBE5F1" w:themeFill="accent1" w:themeFillTint="33"/>
                </w:tcPr>
                <w:p w14:paraId="0C5E43B4" w14:textId="64531748" w:rsidR="00EB2029" w:rsidRPr="008E781C" w:rsidRDefault="00EB2029" w:rsidP="00975581">
                  <w:pPr>
                    <w:jc w:val="both"/>
                    <w:rPr>
                      <w:rFonts w:ascii="Century Gothic" w:hAnsi="Century Gothic"/>
                      <w:bCs/>
                      <w:sz w:val="18"/>
                      <w:szCs w:val="18"/>
                    </w:rPr>
                  </w:pPr>
                  <w:r w:rsidRPr="008E781C">
                    <w:rPr>
                      <w:rFonts w:ascii="Century Gothic" w:hAnsi="Century Gothic"/>
                      <w:b/>
                      <w:bCs/>
                      <w:sz w:val="18"/>
                      <w:szCs w:val="18"/>
                    </w:rPr>
                    <w:t>certificate from the financial institution</w:t>
                  </w:r>
                  <w:r w:rsidRPr="008E781C">
                    <w:rPr>
                      <w:rFonts w:ascii="Century Gothic" w:hAnsi="Century Gothic"/>
                      <w:bCs/>
                      <w:sz w:val="18"/>
                      <w:szCs w:val="18"/>
                    </w:rPr>
                    <w:t xml:space="preserve"> stating that the applicant is the sole holder of the bank deposit </w:t>
                  </w:r>
                </w:p>
              </w:tc>
              <w:tc>
                <w:tcPr>
                  <w:tcW w:w="3969" w:type="dxa"/>
                  <w:shd w:val="clear" w:color="auto" w:fill="DBE5F1" w:themeFill="accent1" w:themeFillTint="33"/>
                </w:tcPr>
                <w:p w14:paraId="267C6E9E" w14:textId="438CF7FA" w:rsidR="00EB2029" w:rsidRPr="008E781C" w:rsidRDefault="00EB2029" w:rsidP="00975581">
                  <w:pPr>
                    <w:jc w:val="both"/>
                    <w:rPr>
                      <w:rFonts w:ascii="Century Gothic" w:hAnsi="Century Gothic"/>
                      <w:bCs/>
                      <w:sz w:val="18"/>
                      <w:szCs w:val="18"/>
                    </w:rPr>
                  </w:pPr>
                  <w:r w:rsidRPr="008E781C">
                    <w:rPr>
                      <w:rFonts w:ascii="Century Gothic" w:hAnsi="Century Gothic"/>
                      <w:bCs/>
                      <w:sz w:val="18"/>
                      <w:szCs w:val="18"/>
                    </w:rPr>
                    <w:t>same certificate from the financial institution now stating that the investment has been kept or increased since the issuance date of the investors’ residence visa</w:t>
                  </w:r>
                  <w:r w:rsidRPr="008E781C">
                    <w:rPr>
                      <w:rStyle w:val="FootnoteReference"/>
                      <w:rFonts w:ascii="Century Gothic" w:hAnsi="Century Gothic"/>
                      <w:bCs/>
                      <w:sz w:val="18"/>
                      <w:szCs w:val="18"/>
                    </w:rPr>
                    <w:footnoteReference w:id="181"/>
                  </w:r>
                </w:p>
              </w:tc>
            </w:tr>
          </w:tbl>
          <w:p w14:paraId="107726A7" w14:textId="3929C550" w:rsidR="0009039B" w:rsidRPr="008E781C" w:rsidRDefault="0009039B" w:rsidP="00975581">
            <w:pPr>
              <w:jc w:val="both"/>
              <w:rPr>
                <w:rFonts w:ascii="Century Gothic" w:hAnsi="Century Gothic"/>
                <w:bCs/>
                <w:sz w:val="18"/>
                <w:szCs w:val="18"/>
              </w:rPr>
            </w:pPr>
          </w:p>
        </w:tc>
        <w:tc>
          <w:tcPr>
            <w:tcW w:w="783" w:type="pct"/>
            <w:vMerge/>
            <w:shd w:val="clear" w:color="auto" w:fill="D9D9D9" w:themeFill="background1" w:themeFillShade="D9"/>
          </w:tcPr>
          <w:p w14:paraId="4612970E" w14:textId="77777777" w:rsidR="0009039B" w:rsidRPr="008E781C" w:rsidRDefault="0009039B" w:rsidP="00975581">
            <w:pPr>
              <w:jc w:val="both"/>
              <w:rPr>
                <w:rFonts w:ascii="Century Gothic" w:hAnsi="Century Gothic"/>
                <w:bCs/>
                <w:sz w:val="18"/>
                <w:szCs w:val="18"/>
              </w:rPr>
            </w:pPr>
          </w:p>
        </w:tc>
      </w:tr>
      <w:tr w:rsidR="0009039B" w:rsidRPr="008E781C" w14:paraId="60D888E1" w14:textId="77777777" w:rsidTr="00A80347">
        <w:trPr>
          <w:trHeight w:val="1687"/>
        </w:trPr>
        <w:tc>
          <w:tcPr>
            <w:tcW w:w="770" w:type="pct"/>
            <w:shd w:val="clear" w:color="auto" w:fill="D9D9D9" w:themeFill="background1" w:themeFillShade="D9"/>
          </w:tcPr>
          <w:p w14:paraId="7F9F7C5E" w14:textId="58DDE36E"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 xml:space="preserve">An initial investment in </w:t>
            </w:r>
            <w:r w:rsidRPr="008E781C">
              <w:rPr>
                <w:rFonts w:ascii="Century Gothic" w:hAnsi="Century Gothic"/>
                <w:b/>
                <w:bCs/>
                <w:sz w:val="18"/>
                <w:szCs w:val="18"/>
              </w:rPr>
              <w:t>investment funds, close-end investment funds or venture capital funds</w:t>
            </w:r>
            <w:r w:rsidRPr="008E781C">
              <w:rPr>
                <w:rFonts w:ascii="Century Gothic" w:hAnsi="Century Gothic"/>
                <w:bCs/>
                <w:sz w:val="18"/>
                <w:szCs w:val="18"/>
              </w:rPr>
              <w:t xml:space="preserve"> set up in Spain</w:t>
            </w:r>
          </w:p>
        </w:tc>
        <w:tc>
          <w:tcPr>
            <w:tcW w:w="476" w:type="pct"/>
            <w:shd w:val="clear" w:color="auto" w:fill="D9D9D9" w:themeFill="background1" w:themeFillShade="D9"/>
          </w:tcPr>
          <w:p w14:paraId="24730D86" w14:textId="46E9AAFC"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At least EUR</w:t>
            </w:r>
            <w:r w:rsidR="009245F7" w:rsidRPr="008E781C">
              <w:rPr>
                <w:rFonts w:ascii="Century Gothic" w:hAnsi="Century Gothic"/>
                <w:bCs/>
                <w:sz w:val="18"/>
                <w:szCs w:val="18"/>
              </w:rPr>
              <w:t xml:space="preserve"> </w:t>
            </w:r>
            <w:r w:rsidRPr="008E781C">
              <w:rPr>
                <w:rFonts w:ascii="Century Gothic" w:hAnsi="Century Gothic"/>
                <w:bCs/>
                <w:sz w:val="18"/>
                <w:szCs w:val="18"/>
              </w:rPr>
              <w:t>1 million</w:t>
            </w:r>
          </w:p>
        </w:tc>
        <w:tc>
          <w:tcPr>
            <w:tcW w:w="2971" w:type="pct"/>
            <w:vMerge/>
            <w:shd w:val="clear" w:color="auto" w:fill="D9D9D9" w:themeFill="background1" w:themeFillShade="D9"/>
          </w:tcPr>
          <w:p w14:paraId="6CDA8C64" w14:textId="77777777" w:rsidR="0009039B" w:rsidRPr="008E781C" w:rsidRDefault="0009039B" w:rsidP="00975581">
            <w:pPr>
              <w:jc w:val="both"/>
              <w:rPr>
                <w:rFonts w:ascii="Century Gothic" w:hAnsi="Century Gothic"/>
                <w:bCs/>
                <w:sz w:val="18"/>
                <w:szCs w:val="18"/>
              </w:rPr>
            </w:pPr>
          </w:p>
        </w:tc>
        <w:tc>
          <w:tcPr>
            <w:tcW w:w="783" w:type="pct"/>
            <w:vMerge/>
            <w:shd w:val="clear" w:color="auto" w:fill="D9D9D9" w:themeFill="background1" w:themeFillShade="D9"/>
          </w:tcPr>
          <w:p w14:paraId="1748D9CF" w14:textId="77777777" w:rsidR="0009039B" w:rsidRPr="008E781C" w:rsidRDefault="0009039B" w:rsidP="00975581">
            <w:pPr>
              <w:jc w:val="both"/>
              <w:rPr>
                <w:rFonts w:ascii="Century Gothic" w:hAnsi="Century Gothic"/>
                <w:bCs/>
                <w:sz w:val="18"/>
                <w:szCs w:val="18"/>
              </w:rPr>
            </w:pPr>
          </w:p>
        </w:tc>
      </w:tr>
      <w:tr w:rsidR="0009039B" w:rsidRPr="008E781C" w14:paraId="1B2DDA0C" w14:textId="77777777" w:rsidTr="00A80347">
        <w:trPr>
          <w:trHeight w:val="1687"/>
        </w:trPr>
        <w:tc>
          <w:tcPr>
            <w:tcW w:w="770" w:type="pct"/>
            <w:shd w:val="clear" w:color="auto" w:fill="D9D9D9" w:themeFill="background1" w:themeFillShade="D9"/>
          </w:tcPr>
          <w:p w14:paraId="6E07FFCB" w14:textId="78E35D30" w:rsidR="0009039B" w:rsidRPr="008E781C" w:rsidRDefault="0009039B" w:rsidP="00975581">
            <w:pPr>
              <w:jc w:val="both"/>
              <w:rPr>
                <w:rFonts w:ascii="Century Gothic" w:hAnsi="Century Gothic"/>
                <w:bCs/>
                <w:sz w:val="18"/>
                <w:szCs w:val="18"/>
              </w:rPr>
            </w:pPr>
            <w:r w:rsidRPr="008E781C">
              <w:rPr>
                <w:rFonts w:ascii="Century Gothic" w:hAnsi="Century Gothic"/>
                <w:b/>
                <w:bCs/>
                <w:sz w:val="18"/>
                <w:szCs w:val="18"/>
              </w:rPr>
              <w:t>Bank deposits</w:t>
            </w:r>
            <w:r w:rsidRPr="008E781C">
              <w:rPr>
                <w:rFonts w:ascii="Century Gothic" w:hAnsi="Century Gothic"/>
                <w:bCs/>
                <w:sz w:val="18"/>
                <w:szCs w:val="18"/>
              </w:rPr>
              <w:t xml:space="preserve"> in Spanish financial institutions</w:t>
            </w:r>
          </w:p>
        </w:tc>
        <w:tc>
          <w:tcPr>
            <w:tcW w:w="476" w:type="pct"/>
            <w:shd w:val="clear" w:color="auto" w:fill="D9D9D9" w:themeFill="background1" w:themeFillShade="D9"/>
          </w:tcPr>
          <w:p w14:paraId="43ED09B4" w14:textId="0D51696E"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At least EUR</w:t>
            </w:r>
            <w:r w:rsidR="009245F7" w:rsidRPr="008E781C">
              <w:rPr>
                <w:rFonts w:ascii="Century Gothic" w:hAnsi="Century Gothic"/>
                <w:bCs/>
                <w:sz w:val="18"/>
                <w:szCs w:val="18"/>
              </w:rPr>
              <w:t xml:space="preserve"> </w:t>
            </w:r>
            <w:r w:rsidRPr="008E781C">
              <w:rPr>
                <w:rFonts w:ascii="Century Gothic" w:hAnsi="Century Gothic"/>
                <w:bCs/>
                <w:sz w:val="18"/>
                <w:szCs w:val="18"/>
              </w:rPr>
              <w:t>1 million</w:t>
            </w:r>
          </w:p>
        </w:tc>
        <w:tc>
          <w:tcPr>
            <w:tcW w:w="2971" w:type="pct"/>
            <w:vMerge/>
            <w:shd w:val="clear" w:color="auto" w:fill="F2F2F2" w:themeFill="background1" w:themeFillShade="F2"/>
          </w:tcPr>
          <w:p w14:paraId="779A1B13" w14:textId="77777777" w:rsidR="0009039B" w:rsidRPr="008E781C" w:rsidRDefault="0009039B" w:rsidP="00975581">
            <w:pPr>
              <w:jc w:val="both"/>
              <w:rPr>
                <w:rFonts w:ascii="Century Gothic" w:hAnsi="Century Gothic"/>
                <w:bCs/>
                <w:sz w:val="18"/>
                <w:szCs w:val="18"/>
              </w:rPr>
            </w:pPr>
          </w:p>
        </w:tc>
        <w:tc>
          <w:tcPr>
            <w:tcW w:w="783" w:type="pct"/>
            <w:vMerge/>
            <w:shd w:val="clear" w:color="auto" w:fill="F2F2F2" w:themeFill="background1" w:themeFillShade="F2"/>
          </w:tcPr>
          <w:p w14:paraId="6E0D9C30" w14:textId="77777777" w:rsidR="0009039B" w:rsidRPr="008E781C" w:rsidRDefault="0009039B" w:rsidP="00975581">
            <w:pPr>
              <w:jc w:val="both"/>
              <w:rPr>
                <w:rFonts w:ascii="Century Gothic" w:hAnsi="Century Gothic"/>
                <w:bCs/>
                <w:sz w:val="18"/>
                <w:szCs w:val="18"/>
              </w:rPr>
            </w:pPr>
          </w:p>
        </w:tc>
      </w:tr>
      <w:tr w:rsidR="0009039B" w:rsidRPr="008E781C" w14:paraId="60656660" w14:textId="77777777" w:rsidTr="00A80347">
        <w:tc>
          <w:tcPr>
            <w:tcW w:w="770" w:type="pct"/>
            <w:shd w:val="clear" w:color="auto" w:fill="D9D9D9" w:themeFill="background1" w:themeFillShade="D9"/>
          </w:tcPr>
          <w:p w14:paraId="041C756D" w14:textId="04A59F75" w:rsidR="0009039B" w:rsidRPr="008E781C" w:rsidRDefault="006C16AC" w:rsidP="00975581">
            <w:pPr>
              <w:jc w:val="both"/>
              <w:rPr>
                <w:rFonts w:ascii="Century Gothic" w:hAnsi="Century Gothic"/>
                <w:bCs/>
                <w:sz w:val="18"/>
                <w:szCs w:val="18"/>
              </w:rPr>
            </w:pPr>
            <w:r w:rsidRPr="008E781C">
              <w:rPr>
                <w:rFonts w:ascii="Century Gothic" w:hAnsi="Century Gothic"/>
                <w:bCs/>
                <w:sz w:val="18"/>
                <w:szCs w:val="18"/>
              </w:rPr>
              <w:lastRenderedPageBreak/>
              <w:t>A</w:t>
            </w:r>
            <w:r w:rsidR="0009039B" w:rsidRPr="008E781C">
              <w:rPr>
                <w:rFonts w:ascii="Century Gothic" w:hAnsi="Century Gothic"/>
                <w:bCs/>
                <w:sz w:val="18"/>
                <w:szCs w:val="18"/>
              </w:rPr>
              <w:t xml:space="preserve">cquisition of </w:t>
            </w:r>
            <w:r w:rsidR="0009039B" w:rsidRPr="008E781C">
              <w:rPr>
                <w:rFonts w:ascii="Century Gothic" w:hAnsi="Century Gothic"/>
                <w:b/>
                <w:bCs/>
                <w:sz w:val="18"/>
                <w:szCs w:val="18"/>
              </w:rPr>
              <w:t>real estate</w:t>
            </w:r>
            <w:r w:rsidR="0009039B" w:rsidRPr="008E781C">
              <w:rPr>
                <w:rFonts w:ascii="Century Gothic" w:hAnsi="Century Gothic"/>
                <w:bCs/>
                <w:sz w:val="18"/>
                <w:szCs w:val="18"/>
              </w:rPr>
              <w:t xml:space="preserve"> </w:t>
            </w:r>
            <w:r w:rsidRPr="008E781C">
              <w:rPr>
                <w:rFonts w:ascii="Century Gothic" w:hAnsi="Century Gothic"/>
                <w:bCs/>
                <w:sz w:val="18"/>
                <w:szCs w:val="18"/>
              </w:rPr>
              <w:t xml:space="preserve">property </w:t>
            </w:r>
            <w:r w:rsidR="0009039B" w:rsidRPr="008E781C">
              <w:rPr>
                <w:rFonts w:ascii="Century Gothic" w:hAnsi="Century Gothic"/>
                <w:bCs/>
                <w:sz w:val="18"/>
                <w:szCs w:val="18"/>
              </w:rPr>
              <w:t xml:space="preserve">in Spain </w:t>
            </w:r>
          </w:p>
        </w:tc>
        <w:tc>
          <w:tcPr>
            <w:tcW w:w="476" w:type="pct"/>
            <w:shd w:val="clear" w:color="auto" w:fill="D9D9D9" w:themeFill="background1" w:themeFillShade="D9"/>
          </w:tcPr>
          <w:p w14:paraId="52F7DA12" w14:textId="07465950"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EUR</w:t>
            </w:r>
            <w:r w:rsidR="009245F7" w:rsidRPr="008E781C">
              <w:rPr>
                <w:rFonts w:ascii="Century Gothic" w:hAnsi="Century Gothic"/>
                <w:bCs/>
                <w:sz w:val="18"/>
                <w:szCs w:val="18"/>
              </w:rPr>
              <w:t xml:space="preserve"> </w:t>
            </w:r>
            <w:r w:rsidRPr="008E781C">
              <w:rPr>
                <w:rFonts w:ascii="Century Gothic" w:hAnsi="Century Gothic"/>
                <w:bCs/>
                <w:sz w:val="18"/>
                <w:szCs w:val="18"/>
              </w:rPr>
              <w:t>500,000</w:t>
            </w:r>
            <w:r w:rsidR="006C16AC" w:rsidRPr="008E781C">
              <w:rPr>
                <w:rFonts w:ascii="Century Gothic" w:hAnsi="Century Gothic"/>
                <w:bCs/>
                <w:sz w:val="18"/>
                <w:szCs w:val="18"/>
              </w:rPr>
              <w:t xml:space="preserve"> per applicant</w:t>
            </w:r>
            <w:r w:rsidR="006C16AC" w:rsidRPr="008E781C">
              <w:rPr>
                <w:rStyle w:val="FootnoteReference"/>
                <w:rFonts w:ascii="Century Gothic" w:hAnsi="Century Gothic"/>
                <w:bCs/>
                <w:sz w:val="18"/>
                <w:szCs w:val="18"/>
              </w:rPr>
              <w:footnoteReference w:id="182"/>
            </w:r>
          </w:p>
          <w:p w14:paraId="52D18A39" w14:textId="77777777" w:rsidR="0009039B" w:rsidRPr="008E781C" w:rsidRDefault="0009039B" w:rsidP="00975581">
            <w:pPr>
              <w:jc w:val="both"/>
              <w:rPr>
                <w:rFonts w:ascii="Century Gothic" w:hAnsi="Century Gothic"/>
                <w:bCs/>
                <w:sz w:val="18"/>
                <w:szCs w:val="18"/>
              </w:rPr>
            </w:pPr>
          </w:p>
        </w:tc>
        <w:tc>
          <w:tcPr>
            <w:tcW w:w="2971" w:type="pct"/>
            <w:shd w:val="clear" w:color="auto" w:fill="D9D9D9" w:themeFill="background1" w:themeFillShade="D9"/>
          </w:tcPr>
          <w:p w14:paraId="7646552A" w14:textId="20EB0056" w:rsidR="00745F58" w:rsidRPr="008E781C" w:rsidRDefault="00745F58" w:rsidP="00975581">
            <w:pPr>
              <w:jc w:val="both"/>
              <w:rPr>
                <w:rFonts w:ascii="Century Gothic" w:hAnsi="Century Gothic"/>
                <w:bCs/>
                <w:sz w:val="18"/>
                <w:szCs w:val="18"/>
              </w:rPr>
            </w:pPr>
            <w:r w:rsidRPr="008E781C">
              <w:rPr>
                <w:rFonts w:ascii="Century Gothic" w:hAnsi="Century Gothic"/>
                <w:bCs/>
                <w:sz w:val="18"/>
                <w:szCs w:val="18"/>
              </w:rPr>
              <w:t xml:space="preserve">When the application is filed for an </w:t>
            </w:r>
            <w:r w:rsidRPr="008E781C">
              <w:rPr>
                <w:rFonts w:ascii="Century Gothic" w:hAnsi="Century Gothic"/>
                <w:b/>
                <w:bCs/>
                <w:sz w:val="18"/>
                <w:szCs w:val="18"/>
              </w:rPr>
              <w:t>investors’ residence visa</w:t>
            </w:r>
            <w:r w:rsidRPr="008E781C">
              <w:rPr>
                <w:rFonts w:ascii="Century Gothic" w:hAnsi="Century Gothic"/>
                <w:bCs/>
                <w:sz w:val="18"/>
                <w:szCs w:val="18"/>
              </w:rPr>
              <w:t>, t</w:t>
            </w:r>
            <w:r w:rsidR="0009039B" w:rsidRPr="008E781C">
              <w:rPr>
                <w:rFonts w:ascii="Century Gothic" w:hAnsi="Century Gothic"/>
                <w:bCs/>
                <w:sz w:val="18"/>
                <w:szCs w:val="18"/>
              </w:rPr>
              <w:t xml:space="preserve">he applicant must prove that he/she acquired the property </w:t>
            </w:r>
            <w:r w:rsidRPr="008E781C">
              <w:rPr>
                <w:rFonts w:ascii="Century Gothic" w:hAnsi="Century Gothic"/>
                <w:bCs/>
                <w:sz w:val="18"/>
                <w:szCs w:val="18"/>
              </w:rPr>
              <w:t xml:space="preserve">by presenting a </w:t>
            </w:r>
            <w:r w:rsidR="0009039B" w:rsidRPr="008E781C">
              <w:rPr>
                <w:rFonts w:ascii="Century Gothic" w:hAnsi="Century Gothic"/>
                <w:b/>
                <w:bCs/>
                <w:sz w:val="18"/>
                <w:szCs w:val="18"/>
              </w:rPr>
              <w:t>certificate on ownership and encumbrances of the Property Registry</w:t>
            </w:r>
            <w:r w:rsidR="0009039B" w:rsidRPr="008E781C">
              <w:rPr>
                <w:rFonts w:ascii="Century Gothic" w:hAnsi="Century Gothic"/>
                <w:bCs/>
                <w:sz w:val="18"/>
                <w:szCs w:val="18"/>
              </w:rPr>
              <w:t>, which</w:t>
            </w:r>
            <w:r w:rsidRPr="008E781C">
              <w:rPr>
                <w:rFonts w:ascii="Century Gothic" w:hAnsi="Century Gothic"/>
                <w:bCs/>
                <w:sz w:val="18"/>
                <w:szCs w:val="18"/>
              </w:rPr>
              <w:t>:</w:t>
            </w:r>
            <w:r w:rsidR="00DA6260" w:rsidRPr="008E781C">
              <w:rPr>
                <w:rStyle w:val="FootnoteReference"/>
                <w:rFonts w:ascii="Century Gothic" w:hAnsi="Century Gothic"/>
                <w:bCs/>
                <w:sz w:val="18"/>
                <w:szCs w:val="18"/>
              </w:rPr>
              <w:footnoteReference w:id="183"/>
            </w:r>
          </w:p>
          <w:p w14:paraId="2B781CD7" w14:textId="7278960A" w:rsidR="00745F58" w:rsidRPr="008E781C" w:rsidRDefault="00745F58" w:rsidP="00BB6838">
            <w:pPr>
              <w:pStyle w:val="ListParagraph"/>
              <w:numPr>
                <w:ilvl w:val="0"/>
                <w:numId w:val="55"/>
              </w:numPr>
              <w:ind w:left="392" w:hanging="283"/>
              <w:rPr>
                <w:rFonts w:ascii="Century Gothic" w:hAnsi="Century Gothic"/>
                <w:bCs/>
                <w:sz w:val="18"/>
                <w:szCs w:val="18"/>
              </w:rPr>
            </w:pPr>
            <w:r w:rsidRPr="008E781C">
              <w:rPr>
                <w:rFonts w:ascii="Century Gothic" w:hAnsi="Century Gothic"/>
                <w:bCs/>
                <w:sz w:val="18"/>
                <w:szCs w:val="18"/>
              </w:rPr>
              <w:t>may</w:t>
            </w:r>
            <w:r w:rsidR="00344015" w:rsidRPr="008E781C">
              <w:rPr>
                <w:rFonts w:ascii="Century Gothic" w:hAnsi="Century Gothic"/>
                <w:bCs/>
                <w:sz w:val="18"/>
                <w:szCs w:val="18"/>
              </w:rPr>
              <w:t xml:space="preserve"> </w:t>
            </w:r>
            <w:r w:rsidR="0009039B" w:rsidRPr="008E781C">
              <w:rPr>
                <w:rFonts w:ascii="Century Gothic" w:hAnsi="Century Gothic"/>
                <w:bCs/>
                <w:sz w:val="18"/>
                <w:szCs w:val="18"/>
              </w:rPr>
              <w:t>include an electronic verification code for online consultation</w:t>
            </w:r>
            <w:r w:rsidRPr="008E781C">
              <w:rPr>
                <w:rFonts w:ascii="Century Gothic" w:hAnsi="Century Gothic"/>
                <w:bCs/>
                <w:sz w:val="18"/>
                <w:szCs w:val="18"/>
              </w:rPr>
              <w:t>;</w:t>
            </w:r>
            <w:r w:rsidR="0009039B" w:rsidRPr="008E781C">
              <w:rPr>
                <w:rFonts w:ascii="Century Gothic" w:hAnsi="Century Gothic"/>
                <w:bCs/>
                <w:sz w:val="18"/>
                <w:szCs w:val="18"/>
              </w:rPr>
              <w:t xml:space="preserve"> </w:t>
            </w:r>
          </w:p>
          <w:p w14:paraId="6196C67B" w14:textId="172103AF" w:rsidR="00745F58" w:rsidRPr="008E781C" w:rsidRDefault="0009039B" w:rsidP="00FC340A">
            <w:pPr>
              <w:pStyle w:val="ListParagraph"/>
              <w:numPr>
                <w:ilvl w:val="0"/>
                <w:numId w:val="55"/>
              </w:numPr>
              <w:ind w:left="392" w:hanging="283"/>
              <w:rPr>
                <w:rFonts w:ascii="Century Gothic" w:hAnsi="Century Gothic"/>
                <w:bCs/>
                <w:sz w:val="18"/>
                <w:szCs w:val="18"/>
              </w:rPr>
            </w:pPr>
            <w:r w:rsidRPr="008E781C">
              <w:rPr>
                <w:rFonts w:ascii="Century Gothic" w:hAnsi="Century Gothic"/>
                <w:bCs/>
                <w:sz w:val="18"/>
                <w:szCs w:val="18"/>
              </w:rPr>
              <w:t>include</w:t>
            </w:r>
            <w:r w:rsidR="00344015" w:rsidRPr="008E781C">
              <w:rPr>
                <w:rFonts w:ascii="Century Gothic" w:hAnsi="Century Gothic"/>
                <w:bCs/>
                <w:sz w:val="18"/>
                <w:szCs w:val="18"/>
              </w:rPr>
              <w:t>s</w:t>
            </w:r>
            <w:r w:rsidRPr="008E781C">
              <w:rPr>
                <w:rFonts w:ascii="Century Gothic" w:hAnsi="Century Gothic"/>
                <w:bCs/>
                <w:sz w:val="18"/>
                <w:szCs w:val="18"/>
              </w:rPr>
              <w:t xml:space="preserve"> the amount of the acquisition; otherwise, this should be proved </w:t>
            </w:r>
            <w:r w:rsidR="00745F58" w:rsidRPr="008E781C">
              <w:rPr>
                <w:rFonts w:ascii="Century Gothic" w:hAnsi="Century Gothic"/>
                <w:bCs/>
                <w:sz w:val="18"/>
                <w:szCs w:val="18"/>
              </w:rPr>
              <w:t>by providing</w:t>
            </w:r>
            <w:r w:rsidRPr="008E781C">
              <w:rPr>
                <w:rFonts w:ascii="Century Gothic" w:hAnsi="Century Gothic"/>
                <w:bCs/>
                <w:sz w:val="18"/>
                <w:szCs w:val="18"/>
              </w:rPr>
              <w:t xml:space="preserve"> the </w:t>
            </w:r>
            <w:r w:rsidR="00745F58" w:rsidRPr="008E781C">
              <w:rPr>
                <w:rFonts w:ascii="Century Gothic" w:hAnsi="Century Gothic"/>
                <w:bCs/>
                <w:sz w:val="18"/>
                <w:szCs w:val="18"/>
              </w:rPr>
              <w:t xml:space="preserve">corresponding real estate sale </w:t>
            </w:r>
            <w:r w:rsidRPr="008E781C">
              <w:rPr>
                <w:rFonts w:ascii="Century Gothic" w:hAnsi="Century Gothic"/>
                <w:bCs/>
                <w:sz w:val="18"/>
                <w:szCs w:val="18"/>
              </w:rPr>
              <w:t>public deed</w:t>
            </w:r>
            <w:r w:rsidR="00745F58" w:rsidRPr="008E781C">
              <w:rPr>
                <w:rFonts w:ascii="Century Gothic" w:hAnsi="Century Gothic"/>
                <w:bCs/>
                <w:sz w:val="18"/>
                <w:szCs w:val="18"/>
              </w:rPr>
              <w:t>;</w:t>
            </w:r>
          </w:p>
          <w:p w14:paraId="4F0DB308" w14:textId="2C4E80CF" w:rsidR="0009039B" w:rsidRPr="008E781C" w:rsidRDefault="00745F58" w:rsidP="007574AD">
            <w:pPr>
              <w:pStyle w:val="ListParagraph"/>
              <w:numPr>
                <w:ilvl w:val="0"/>
                <w:numId w:val="55"/>
              </w:numPr>
              <w:ind w:left="392" w:hanging="283"/>
              <w:rPr>
                <w:rFonts w:ascii="Century Gothic" w:hAnsi="Century Gothic"/>
                <w:bCs/>
                <w:sz w:val="18"/>
                <w:szCs w:val="18"/>
              </w:rPr>
            </w:pPr>
            <w:r w:rsidRPr="008E781C">
              <w:rPr>
                <w:rFonts w:ascii="Century Gothic" w:hAnsi="Century Gothic"/>
                <w:bCs/>
                <w:sz w:val="18"/>
                <w:szCs w:val="18"/>
              </w:rPr>
              <w:t>certif</w:t>
            </w:r>
            <w:r w:rsidR="00344015" w:rsidRPr="008E781C">
              <w:rPr>
                <w:rFonts w:ascii="Century Gothic" w:hAnsi="Century Gothic"/>
                <w:bCs/>
                <w:sz w:val="18"/>
                <w:szCs w:val="18"/>
              </w:rPr>
              <w:t>ies</w:t>
            </w:r>
            <w:r w:rsidRPr="008E781C">
              <w:rPr>
                <w:rFonts w:ascii="Century Gothic" w:hAnsi="Century Gothic"/>
                <w:bCs/>
                <w:sz w:val="18"/>
                <w:szCs w:val="18"/>
              </w:rPr>
              <w:t xml:space="preserve"> that the property is free of encumbrances (e.g. mortgage) for a value of at least EUR 500,000 (</w:t>
            </w:r>
            <w:r w:rsidR="00DA6260" w:rsidRPr="008E781C">
              <w:rPr>
                <w:rFonts w:ascii="Century Gothic" w:hAnsi="Century Gothic"/>
                <w:bCs/>
                <w:sz w:val="18"/>
                <w:szCs w:val="18"/>
              </w:rPr>
              <w:t>if the value of the</w:t>
            </w:r>
            <w:r w:rsidR="009245F7" w:rsidRPr="008E781C">
              <w:rPr>
                <w:rFonts w:ascii="Century Gothic" w:hAnsi="Century Gothic"/>
                <w:bCs/>
                <w:sz w:val="18"/>
                <w:szCs w:val="18"/>
              </w:rPr>
              <w:t xml:space="preserve"> immovable</w:t>
            </w:r>
            <w:r w:rsidR="00DA6260" w:rsidRPr="008E781C">
              <w:rPr>
                <w:rFonts w:ascii="Century Gothic" w:hAnsi="Century Gothic"/>
                <w:bCs/>
                <w:sz w:val="18"/>
                <w:szCs w:val="18"/>
              </w:rPr>
              <w:t xml:space="preserve"> property exceeds this amount, the rest can be subject to said encumbrances)</w:t>
            </w:r>
            <w:r w:rsidRPr="008E781C">
              <w:rPr>
                <w:rFonts w:ascii="Century Gothic" w:hAnsi="Century Gothic"/>
                <w:bCs/>
                <w:sz w:val="18"/>
                <w:szCs w:val="18"/>
              </w:rPr>
              <w:t xml:space="preserve"> </w:t>
            </w:r>
          </w:p>
          <w:p w14:paraId="5EE1633D" w14:textId="79556B9E" w:rsidR="0009039B" w:rsidRPr="008E781C" w:rsidRDefault="0009039B" w:rsidP="00975581">
            <w:pPr>
              <w:jc w:val="both"/>
              <w:rPr>
                <w:rFonts w:ascii="Century Gothic" w:hAnsi="Century Gothic"/>
                <w:bCs/>
                <w:sz w:val="18"/>
                <w:szCs w:val="18"/>
              </w:rPr>
            </w:pPr>
          </w:p>
          <w:p w14:paraId="5D0E8BA0" w14:textId="54701257" w:rsidR="00DA6260" w:rsidRPr="008E781C" w:rsidRDefault="00DA6260" w:rsidP="00975581">
            <w:pPr>
              <w:jc w:val="both"/>
            </w:pPr>
            <w:r w:rsidRPr="008E781C">
              <w:rPr>
                <w:rFonts w:ascii="Century Gothic" w:hAnsi="Century Gothic"/>
                <w:bCs/>
                <w:sz w:val="18"/>
                <w:szCs w:val="18"/>
              </w:rPr>
              <w:t xml:space="preserve">Where the application is for an </w:t>
            </w:r>
            <w:r w:rsidRPr="008E781C">
              <w:rPr>
                <w:rFonts w:ascii="Century Gothic" w:hAnsi="Century Gothic"/>
                <w:b/>
                <w:bCs/>
                <w:sz w:val="18"/>
                <w:szCs w:val="18"/>
              </w:rPr>
              <w:t xml:space="preserve">investors’ residence authorisation and the applicant holds a prior investors’ residence visa </w:t>
            </w:r>
            <w:r w:rsidRPr="008E781C">
              <w:rPr>
                <w:rFonts w:ascii="Century Gothic" w:hAnsi="Century Gothic"/>
                <w:bCs/>
                <w:sz w:val="18"/>
                <w:szCs w:val="18"/>
              </w:rPr>
              <w:t xml:space="preserve">such certificate must be dated within at least </w:t>
            </w:r>
            <w:r w:rsidRPr="008E781C">
              <w:rPr>
                <w:rFonts w:ascii="Century Gothic" w:hAnsi="Century Gothic"/>
                <w:b/>
                <w:bCs/>
                <w:sz w:val="18"/>
                <w:szCs w:val="18"/>
              </w:rPr>
              <w:t>90 days prior to the submission of the application</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184"/>
            </w:r>
          </w:p>
          <w:p w14:paraId="09CF8607" w14:textId="77777777" w:rsidR="00DA6260" w:rsidRPr="008E781C" w:rsidRDefault="00DA6260" w:rsidP="00975581">
            <w:pPr>
              <w:jc w:val="both"/>
              <w:rPr>
                <w:rFonts w:ascii="Century Gothic" w:hAnsi="Century Gothic"/>
                <w:bCs/>
                <w:sz w:val="18"/>
                <w:szCs w:val="18"/>
              </w:rPr>
            </w:pPr>
          </w:p>
          <w:p w14:paraId="3629CD71" w14:textId="0AB537C8" w:rsidR="0009039B" w:rsidRPr="008E781C" w:rsidRDefault="00DA6260" w:rsidP="00975581">
            <w:pPr>
              <w:jc w:val="both"/>
              <w:rPr>
                <w:rFonts w:ascii="Century Gothic" w:hAnsi="Century Gothic"/>
                <w:bCs/>
                <w:sz w:val="18"/>
                <w:szCs w:val="18"/>
              </w:rPr>
            </w:pPr>
            <w:r w:rsidRPr="008E781C">
              <w:rPr>
                <w:rFonts w:ascii="Century Gothic" w:hAnsi="Century Gothic"/>
                <w:bCs/>
                <w:sz w:val="18"/>
                <w:szCs w:val="18"/>
              </w:rPr>
              <w:lastRenderedPageBreak/>
              <w:t xml:space="preserve">If at the time of application for an </w:t>
            </w:r>
            <w:r w:rsidRPr="008E781C">
              <w:rPr>
                <w:rFonts w:ascii="Century Gothic" w:hAnsi="Century Gothic"/>
                <w:b/>
                <w:bCs/>
                <w:sz w:val="18"/>
                <w:szCs w:val="18"/>
              </w:rPr>
              <w:t>investors’ residence visa</w:t>
            </w:r>
            <w:r w:rsidRPr="008E781C">
              <w:rPr>
                <w:rFonts w:ascii="Century Gothic" w:hAnsi="Century Gothic"/>
                <w:bCs/>
                <w:sz w:val="18"/>
                <w:szCs w:val="18"/>
              </w:rPr>
              <w:t xml:space="preserve"> </w:t>
            </w:r>
            <w:r w:rsidR="0009039B" w:rsidRPr="008E781C">
              <w:rPr>
                <w:rFonts w:ascii="Century Gothic" w:hAnsi="Century Gothic"/>
                <w:bCs/>
                <w:sz w:val="18"/>
                <w:szCs w:val="18"/>
              </w:rPr>
              <w:t xml:space="preserve">the </w:t>
            </w:r>
            <w:r w:rsidR="0009039B" w:rsidRPr="008E781C">
              <w:rPr>
                <w:rFonts w:ascii="Century Gothic" w:hAnsi="Century Gothic"/>
                <w:b/>
                <w:bCs/>
                <w:sz w:val="18"/>
                <w:szCs w:val="18"/>
              </w:rPr>
              <w:t xml:space="preserve">acquisition of the property is in the process of registration </w:t>
            </w:r>
            <w:r w:rsidRPr="008E781C">
              <w:rPr>
                <w:rFonts w:ascii="Century Gothic" w:hAnsi="Century Gothic"/>
                <w:b/>
                <w:bCs/>
                <w:sz w:val="18"/>
                <w:szCs w:val="18"/>
              </w:rPr>
              <w:t xml:space="preserve">with </w:t>
            </w:r>
            <w:r w:rsidR="0009039B" w:rsidRPr="008E781C">
              <w:rPr>
                <w:rFonts w:ascii="Century Gothic" w:hAnsi="Century Gothic"/>
                <w:b/>
                <w:bCs/>
                <w:sz w:val="18"/>
                <w:szCs w:val="18"/>
              </w:rPr>
              <w:t>the Property Registry</w:t>
            </w:r>
            <w:r w:rsidR="0009039B" w:rsidRPr="008E781C">
              <w:rPr>
                <w:rFonts w:ascii="Century Gothic" w:hAnsi="Century Gothic"/>
                <w:bCs/>
                <w:sz w:val="18"/>
                <w:szCs w:val="18"/>
              </w:rPr>
              <w:t>, the applicant must provide the certificate</w:t>
            </w:r>
            <w:r w:rsidR="008469BA" w:rsidRPr="008E781C">
              <w:rPr>
                <w:rFonts w:ascii="Century Gothic" w:hAnsi="Century Gothic"/>
                <w:bCs/>
                <w:sz w:val="18"/>
                <w:szCs w:val="18"/>
              </w:rPr>
              <w:t xml:space="preserve"> of the Registry proving</w:t>
            </w:r>
            <w:r w:rsidR="0009039B" w:rsidRPr="008E781C">
              <w:rPr>
                <w:rFonts w:ascii="Century Gothic" w:hAnsi="Century Gothic"/>
                <w:bCs/>
                <w:sz w:val="18"/>
                <w:szCs w:val="18"/>
              </w:rPr>
              <w:t xml:space="preserve"> the</w:t>
            </w:r>
            <w:r w:rsidR="008469BA" w:rsidRPr="008E781C">
              <w:rPr>
                <w:rFonts w:ascii="Century Gothic" w:hAnsi="Century Gothic"/>
                <w:bCs/>
                <w:sz w:val="18"/>
                <w:szCs w:val="18"/>
              </w:rPr>
              <w:t xml:space="preserve"> registry</w:t>
            </w:r>
            <w:r w:rsidR="0009039B" w:rsidRPr="008E781C">
              <w:rPr>
                <w:rFonts w:ascii="Century Gothic" w:hAnsi="Century Gothic"/>
                <w:bCs/>
                <w:sz w:val="18"/>
                <w:szCs w:val="18"/>
              </w:rPr>
              <w:t xml:space="preserve"> entry for the </w:t>
            </w:r>
            <w:r w:rsidR="008469BA" w:rsidRPr="008E781C">
              <w:rPr>
                <w:rFonts w:ascii="Century Gothic" w:hAnsi="Century Gothic"/>
                <w:bCs/>
                <w:sz w:val="18"/>
                <w:szCs w:val="18"/>
              </w:rPr>
              <w:t xml:space="preserve">document on the </w:t>
            </w:r>
            <w:r w:rsidR="0009039B" w:rsidRPr="008E781C">
              <w:rPr>
                <w:rFonts w:ascii="Century Gothic" w:hAnsi="Century Gothic"/>
                <w:bCs/>
                <w:sz w:val="18"/>
                <w:szCs w:val="18"/>
              </w:rPr>
              <w:t xml:space="preserve">acquisition </w:t>
            </w:r>
            <w:r w:rsidR="008469BA" w:rsidRPr="008E781C">
              <w:rPr>
                <w:rFonts w:ascii="Century Gothic" w:hAnsi="Century Gothic"/>
                <w:bCs/>
                <w:sz w:val="18"/>
                <w:szCs w:val="18"/>
              </w:rPr>
              <w:t>of the real estate property</w:t>
            </w:r>
            <w:r w:rsidR="0009039B" w:rsidRPr="008E781C">
              <w:rPr>
                <w:rFonts w:ascii="Century Gothic" w:hAnsi="Century Gothic"/>
                <w:bCs/>
                <w:sz w:val="18"/>
                <w:szCs w:val="18"/>
              </w:rPr>
              <w:t>, accompanied by documentation accrediting the payment of the corresponding taxes.</w:t>
            </w:r>
          </w:p>
          <w:p w14:paraId="1C3A6033" w14:textId="77777777" w:rsidR="0009039B" w:rsidRPr="008E781C" w:rsidRDefault="0009039B" w:rsidP="00975581">
            <w:pPr>
              <w:jc w:val="both"/>
              <w:rPr>
                <w:rFonts w:ascii="Century Gothic" w:hAnsi="Century Gothic"/>
                <w:bCs/>
                <w:sz w:val="18"/>
                <w:szCs w:val="18"/>
              </w:rPr>
            </w:pPr>
          </w:p>
          <w:p w14:paraId="4BB08C51" w14:textId="7E2D6503" w:rsidR="0009039B" w:rsidRPr="008E781C" w:rsidRDefault="0009039B" w:rsidP="00975581">
            <w:pPr>
              <w:jc w:val="both"/>
              <w:rPr>
                <w:rFonts w:ascii="Century Gothic" w:hAnsi="Century Gothic"/>
                <w:bCs/>
                <w:sz w:val="18"/>
                <w:szCs w:val="18"/>
              </w:rPr>
            </w:pPr>
            <w:r w:rsidRPr="008E781C">
              <w:rPr>
                <w:rFonts w:ascii="Century Gothic" w:hAnsi="Century Gothic"/>
                <w:bCs/>
                <w:sz w:val="18"/>
                <w:szCs w:val="18"/>
              </w:rPr>
              <w:t xml:space="preserve">The 2015 amendment added that in case </w:t>
            </w:r>
            <w:r w:rsidRPr="008E781C">
              <w:rPr>
                <w:rFonts w:ascii="Century Gothic" w:hAnsi="Century Gothic"/>
                <w:b/>
                <w:bCs/>
                <w:sz w:val="18"/>
                <w:szCs w:val="18"/>
              </w:rPr>
              <w:t xml:space="preserve">the purchase of the real estate </w:t>
            </w:r>
            <w:r w:rsidR="008469BA" w:rsidRPr="008E781C">
              <w:rPr>
                <w:rFonts w:ascii="Century Gothic" w:hAnsi="Century Gothic"/>
                <w:b/>
                <w:bCs/>
                <w:sz w:val="18"/>
                <w:szCs w:val="18"/>
              </w:rPr>
              <w:t>property(ies) is not formalised at the time of filing the application</w:t>
            </w:r>
            <w:r w:rsidR="008469BA" w:rsidRPr="008E781C">
              <w:rPr>
                <w:rFonts w:ascii="Century Gothic" w:hAnsi="Century Gothic"/>
                <w:bCs/>
                <w:sz w:val="18"/>
                <w:szCs w:val="18"/>
              </w:rPr>
              <w:t xml:space="preserve"> for the investors’ residence visa or at the time of filing the application for the investors’ residence authorisation</w:t>
            </w:r>
            <w:r w:rsidR="00976C53" w:rsidRPr="008E781C">
              <w:rPr>
                <w:rFonts w:ascii="Century Gothic" w:hAnsi="Century Gothic"/>
                <w:bCs/>
                <w:sz w:val="18"/>
                <w:szCs w:val="18"/>
              </w:rPr>
              <w:t xml:space="preserve"> where the applicant does not hold a prior visa but is legally residing in Spain</w:t>
            </w:r>
            <w:r w:rsidR="008469BA" w:rsidRPr="008E781C">
              <w:rPr>
                <w:rFonts w:ascii="Century Gothic" w:hAnsi="Century Gothic"/>
                <w:bCs/>
                <w:sz w:val="18"/>
                <w:szCs w:val="18"/>
              </w:rPr>
              <w:t xml:space="preserve"> </w:t>
            </w:r>
            <w:r w:rsidR="00976C53" w:rsidRPr="008E781C">
              <w:rPr>
                <w:rFonts w:ascii="Century Gothic" w:hAnsi="Century Gothic"/>
                <w:b/>
                <w:bCs/>
                <w:sz w:val="18"/>
                <w:szCs w:val="18"/>
              </w:rPr>
              <w:t xml:space="preserve">and </w:t>
            </w:r>
            <w:r w:rsidRPr="008E781C">
              <w:rPr>
                <w:rFonts w:ascii="Century Gothic" w:hAnsi="Century Gothic"/>
                <w:b/>
                <w:bCs/>
                <w:sz w:val="18"/>
                <w:szCs w:val="18"/>
              </w:rPr>
              <w:t>there is a pre-contract with guarantee of compliance</w:t>
            </w:r>
            <w:r w:rsidRPr="008E781C">
              <w:rPr>
                <w:rFonts w:ascii="Century Gothic" w:hAnsi="Century Gothic"/>
                <w:bCs/>
                <w:sz w:val="18"/>
                <w:szCs w:val="18"/>
              </w:rPr>
              <w:t xml:space="preserve"> </w:t>
            </w:r>
            <w:r w:rsidR="008469BA" w:rsidRPr="008E781C">
              <w:rPr>
                <w:rFonts w:ascii="Century Gothic" w:hAnsi="Century Gothic"/>
                <w:bCs/>
                <w:sz w:val="18"/>
                <w:szCs w:val="18"/>
              </w:rPr>
              <w:t xml:space="preserve">(i.e. ensuring that the purchase will be completed) </w:t>
            </w:r>
            <w:r w:rsidRPr="008E781C">
              <w:rPr>
                <w:rFonts w:ascii="Century Gothic" w:hAnsi="Century Gothic"/>
                <w:bCs/>
                <w:sz w:val="18"/>
                <w:szCs w:val="18"/>
              </w:rPr>
              <w:t xml:space="preserve">by means of a deposit or other means admitted in law </w:t>
            </w:r>
            <w:r w:rsidR="00BF7479" w:rsidRPr="008E781C">
              <w:rPr>
                <w:rFonts w:ascii="Century Gothic" w:hAnsi="Century Gothic"/>
                <w:bCs/>
                <w:sz w:val="18"/>
                <w:szCs w:val="18"/>
              </w:rPr>
              <w:t xml:space="preserve">and reflected </w:t>
            </w:r>
            <w:r w:rsidRPr="008E781C">
              <w:rPr>
                <w:rFonts w:ascii="Century Gothic" w:hAnsi="Century Gothic"/>
                <w:bCs/>
                <w:sz w:val="18"/>
                <w:szCs w:val="18"/>
              </w:rPr>
              <w:t xml:space="preserve">in a public deed, </w:t>
            </w:r>
            <w:r w:rsidR="008469BA" w:rsidRPr="008E781C">
              <w:rPr>
                <w:rFonts w:ascii="Century Gothic" w:hAnsi="Century Gothic"/>
                <w:bCs/>
                <w:sz w:val="18"/>
                <w:szCs w:val="18"/>
              </w:rPr>
              <w:t>s/</w:t>
            </w:r>
            <w:r w:rsidRPr="008E781C">
              <w:rPr>
                <w:rFonts w:ascii="Century Gothic" w:hAnsi="Century Gothic"/>
                <w:bCs/>
                <w:sz w:val="18"/>
                <w:szCs w:val="18"/>
              </w:rPr>
              <w:t xml:space="preserve">he must </w:t>
            </w:r>
            <w:r w:rsidRPr="008E781C">
              <w:rPr>
                <w:rFonts w:ascii="Century Gothic" w:hAnsi="Century Gothic"/>
                <w:b/>
                <w:bCs/>
                <w:sz w:val="18"/>
                <w:szCs w:val="18"/>
              </w:rPr>
              <w:t>present the pre-contract together with a certificate from a financial institution</w:t>
            </w:r>
            <w:r w:rsidRPr="008E781C">
              <w:rPr>
                <w:rFonts w:ascii="Century Gothic" w:hAnsi="Century Gothic"/>
                <w:bCs/>
                <w:sz w:val="18"/>
                <w:szCs w:val="18"/>
              </w:rPr>
              <w:t xml:space="preserve"> established in Spain in which it can be ascertained that the applicant has </w:t>
            </w:r>
            <w:r w:rsidR="008469BA" w:rsidRPr="008E781C">
              <w:rPr>
                <w:rFonts w:ascii="Century Gothic" w:hAnsi="Century Gothic"/>
                <w:bCs/>
                <w:sz w:val="18"/>
                <w:szCs w:val="18"/>
              </w:rPr>
              <w:t>a</w:t>
            </w:r>
            <w:r w:rsidRPr="008E781C">
              <w:rPr>
                <w:rFonts w:ascii="Century Gothic" w:hAnsi="Century Gothic"/>
                <w:bCs/>
                <w:sz w:val="18"/>
                <w:szCs w:val="18"/>
              </w:rPr>
              <w:t xml:space="preserve"> </w:t>
            </w:r>
            <w:r w:rsidRPr="008E781C">
              <w:rPr>
                <w:rFonts w:ascii="Century Gothic" w:hAnsi="Century Gothic"/>
                <w:b/>
                <w:bCs/>
                <w:sz w:val="18"/>
                <w:szCs w:val="18"/>
              </w:rPr>
              <w:t xml:space="preserve">bank deposit </w:t>
            </w:r>
            <w:r w:rsidR="008469BA" w:rsidRPr="008E781C">
              <w:rPr>
                <w:rFonts w:ascii="Century Gothic" w:hAnsi="Century Gothic"/>
                <w:b/>
                <w:bCs/>
                <w:sz w:val="18"/>
                <w:szCs w:val="18"/>
              </w:rPr>
              <w:t>of which s/he cannot dispose</w:t>
            </w:r>
            <w:r w:rsidR="008469BA" w:rsidRPr="008E781C">
              <w:rPr>
                <w:rFonts w:ascii="Century Gothic" w:hAnsi="Century Gothic"/>
                <w:bCs/>
                <w:sz w:val="18"/>
                <w:szCs w:val="18"/>
              </w:rPr>
              <w:t xml:space="preserve"> </w:t>
            </w:r>
            <w:r w:rsidRPr="008E781C">
              <w:rPr>
                <w:rFonts w:ascii="Century Gothic" w:hAnsi="Century Gothic"/>
                <w:bCs/>
                <w:sz w:val="18"/>
                <w:szCs w:val="18"/>
              </w:rPr>
              <w:t>with the amount necessary for the acquisition</w:t>
            </w:r>
            <w:r w:rsidR="008469BA" w:rsidRPr="008E781C">
              <w:rPr>
                <w:rFonts w:ascii="Century Gothic" w:hAnsi="Century Gothic"/>
                <w:bCs/>
                <w:sz w:val="18"/>
                <w:szCs w:val="18"/>
              </w:rPr>
              <w:t xml:space="preserve"> </w:t>
            </w:r>
            <w:r w:rsidRPr="008E781C">
              <w:rPr>
                <w:rFonts w:ascii="Century Gothic" w:hAnsi="Century Gothic"/>
                <w:bCs/>
                <w:sz w:val="18"/>
                <w:szCs w:val="18"/>
              </w:rPr>
              <w:t>of the real estate propert</w:t>
            </w:r>
            <w:r w:rsidR="008469BA" w:rsidRPr="008E781C">
              <w:rPr>
                <w:rFonts w:ascii="Century Gothic" w:hAnsi="Century Gothic"/>
                <w:bCs/>
                <w:sz w:val="18"/>
                <w:szCs w:val="18"/>
              </w:rPr>
              <w:t>y(</w:t>
            </w:r>
            <w:r w:rsidRPr="008E781C">
              <w:rPr>
                <w:rFonts w:ascii="Century Gothic" w:hAnsi="Century Gothic"/>
                <w:bCs/>
                <w:sz w:val="18"/>
                <w:szCs w:val="18"/>
              </w:rPr>
              <w:t>ies</w:t>
            </w:r>
            <w:r w:rsidR="008469BA" w:rsidRPr="008E781C">
              <w:rPr>
                <w:rFonts w:ascii="Century Gothic" w:hAnsi="Century Gothic"/>
                <w:bCs/>
                <w:sz w:val="18"/>
                <w:szCs w:val="18"/>
              </w:rPr>
              <w:t>)</w:t>
            </w:r>
            <w:r w:rsidRPr="008E781C">
              <w:rPr>
                <w:rFonts w:ascii="Century Gothic" w:hAnsi="Century Gothic"/>
                <w:bCs/>
                <w:sz w:val="18"/>
                <w:szCs w:val="18"/>
              </w:rPr>
              <w:t>, including</w:t>
            </w:r>
            <w:r w:rsidR="008469BA" w:rsidRPr="008E781C">
              <w:rPr>
                <w:rFonts w:ascii="Century Gothic" w:hAnsi="Century Gothic"/>
                <w:bCs/>
                <w:sz w:val="18"/>
                <w:szCs w:val="18"/>
              </w:rPr>
              <w:t xml:space="preserve"> an indication of the</w:t>
            </w:r>
            <w:r w:rsidRPr="008E781C">
              <w:rPr>
                <w:rFonts w:ascii="Century Gothic" w:hAnsi="Century Gothic"/>
                <w:bCs/>
                <w:sz w:val="18"/>
                <w:szCs w:val="18"/>
              </w:rPr>
              <w:t xml:space="preserve"> charges and taxes. The amount of the deposit can only be used for the final purchase of the property or properties indicated in the pre-contract. </w:t>
            </w:r>
          </w:p>
        </w:tc>
        <w:tc>
          <w:tcPr>
            <w:tcW w:w="783" w:type="pct"/>
            <w:vMerge/>
            <w:shd w:val="clear" w:color="auto" w:fill="F2F2F2" w:themeFill="background1" w:themeFillShade="F2"/>
          </w:tcPr>
          <w:p w14:paraId="4F03D093" w14:textId="77777777" w:rsidR="0009039B" w:rsidRPr="008E781C" w:rsidRDefault="0009039B" w:rsidP="00975581">
            <w:pPr>
              <w:jc w:val="both"/>
              <w:rPr>
                <w:rFonts w:ascii="Century Gothic" w:hAnsi="Century Gothic"/>
                <w:bCs/>
                <w:sz w:val="18"/>
                <w:szCs w:val="18"/>
              </w:rPr>
            </w:pPr>
          </w:p>
        </w:tc>
      </w:tr>
      <w:tr w:rsidR="0009039B" w:rsidRPr="008E781C" w14:paraId="4EA76DF8" w14:textId="77777777" w:rsidTr="00A80347">
        <w:tc>
          <w:tcPr>
            <w:tcW w:w="770" w:type="pct"/>
            <w:shd w:val="clear" w:color="auto" w:fill="D9D9D9" w:themeFill="background1" w:themeFillShade="D9"/>
          </w:tcPr>
          <w:p w14:paraId="26A1C677" w14:textId="00C58E4D" w:rsidR="006C16AC" w:rsidRPr="008E781C" w:rsidRDefault="0009039B" w:rsidP="001F39E0">
            <w:pPr>
              <w:jc w:val="both"/>
              <w:rPr>
                <w:rFonts w:ascii="Century Gothic" w:hAnsi="Century Gothic"/>
                <w:bCs/>
                <w:sz w:val="18"/>
                <w:szCs w:val="18"/>
              </w:rPr>
            </w:pPr>
            <w:r w:rsidRPr="008E781C">
              <w:rPr>
                <w:rFonts w:ascii="Century Gothic" w:hAnsi="Century Gothic"/>
                <w:bCs/>
                <w:sz w:val="18"/>
                <w:szCs w:val="18"/>
              </w:rPr>
              <w:t xml:space="preserve">A </w:t>
            </w:r>
            <w:r w:rsidRPr="008E781C">
              <w:rPr>
                <w:rFonts w:ascii="Century Gothic" w:hAnsi="Century Gothic"/>
                <w:b/>
                <w:bCs/>
                <w:sz w:val="18"/>
                <w:szCs w:val="18"/>
              </w:rPr>
              <w:t>business project</w:t>
            </w:r>
            <w:r w:rsidRPr="008E781C">
              <w:rPr>
                <w:rFonts w:ascii="Century Gothic" w:hAnsi="Century Gothic"/>
                <w:bCs/>
                <w:sz w:val="18"/>
                <w:szCs w:val="18"/>
              </w:rPr>
              <w:t xml:space="preserve"> </w:t>
            </w:r>
            <w:r w:rsidR="006C16AC" w:rsidRPr="008E781C">
              <w:rPr>
                <w:rFonts w:ascii="Century Gothic" w:hAnsi="Century Gothic"/>
                <w:bCs/>
                <w:sz w:val="18"/>
                <w:szCs w:val="18"/>
              </w:rPr>
              <w:t xml:space="preserve">to be developed in Spain and that is considered and certified as being of </w:t>
            </w:r>
            <w:r w:rsidR="006C16AC" w:rsidRPr="008E781C">
              <w:rPr>
                <w:rFonts w:ascii="Century Gothic" w:hAnsi="Century Gothic"/>
                <w:b/>
                <w:bCs/>
                <w:sz w:val="18"/>
                <w:szCs w:val="18"/>
              </w:rPr>
              <w:t>general interest</w:t>
            </w:r>
            <w:r w:rsidR="006C16AC" w:rsidRPr="008E781C">
              <w:rPr>
                <w:rFonts w:ascii="Century Gothic" w:hAnsi="Century Gothic"/>
                <w:bCs/>
                <w:sz w:val="18"/>
                <w:szCs w:val="18"/>
              </w:rPr>
              <w:t xml:space="preserve">, for which compliance with </w:t>
            </w:r>
            <w:r w:rsidR="006C16AC" w:rsidRPr="008E781C">
              <w:rPr>
                <w:rFonts w:ascii="Century Gothic" w:hAnsi="Century Gothic"/>
                <w:b/>
                <w:bCs/>
                <w:sz w:val="18"/>
                <w:szCs w:val="18"/>
              </w:rPr>
              <w:t>at least one of the following conditions</w:t>
            </w:r>
            <w:r w:rsidR="006C16AC" w:rsidRPr="008E781C">
              <w:rPr>
                <w:rFonts w:ascii="Century Gothic" w:hAnsi="Century Gothic"/>
                <w:bCs/>
                <w:sz w:val="18"/>
                <w:szCs w:val="18"/>
              </w:rPr>
              <w:t xml:space="preserve"> will be assessed:</w:t>
            </w:r>
          </w:p>
          <w:p w14:paraId="43A2E4B2" w14:textId="77777777" w:rsidR="0009039B" w:rsidRPr="008E781C" w:rsidRDefault="0009039B" w:rsidP="001F39E0">
            <w:pPr>
              <w:jc w:val="both"/>
              <w:rPr>
                <w:rFonts w:ascii="Century Gothic" w:hAnsi="Century Gothic"/>
                <w:bCs/>
                <w:sz w:val="18"/>
                <w:szCs w:val="18"/>
              </w:rPr>
            </w:pPr>
          </w:p>
          <w:p w14:paraId="501A32B7" w14:textId="2E891B3A" w:rsidR="0009039B" w:rsidRPr="008E781C" w:rsidRDefault="0009039B" w:rsidP="001F39E0">
            <w:pPr>
              <w:jc w:val="both"/>
              <w:rPr>
                <w:rFonts w:ascii="Century Gothic" w:hAnsi="Century Gothic"/>
                <w:bCs/>
                <w:sz w:val="18"/>
                <w:szCs w:val="18"/>
              </w:rPr>
            </w:pPr>
            <w:r w:rsidRPr="008E781C">
              <w:rPr>
                <w:rFonts w:ascii="Century Gothic" w:hAnsi="Century Gothic"/>
                <w:bCs/>
                <w:sz w:val="18"/>
                <w:szCs w:val="18"/>
              </w:rPr>
              <w:lastRenderedPageBreak/>
              <w:t xml:space="preserve">1. </w:t>
            </w:r>
            <w:r w:rsidRPr="008E781C">
              <w:rPr>
                <w:rFonts w:ascii="Century Gothic" w:hAnsi="Century Gothic"/>
                <w:b/>
                <w:bCs/>
                <w:sz w:val="18"/>
                <w:szCs w:val="18"/>
              </w:rPr>
              <w:t>Creation of jobs</w:t>
            </w:r>
            <w:r w:rsidRPr="008E781C">
              <w:rPr>
                <w:rFonts w:ascii="Century Gothic" w:hAnsi="Century Gothic"/>
                <w:bCs/>
                <w:sz w:val="18"/>
                <w:szCs w:val="18"/>
              </w:rPr>
              <w:t>.</w:t>
            </w:r>
          </w:p>
          <w:p w14:paraId="7D7CE13E" w14:textId="5CE652B7" w:rsidR="0009039B" w:rsidRPr="008E781C" w:rsidRDefault="0009039B" w:rsidP="001F39E0">
            <w:pPr>
              <w:jc w:val="both"/>
              <w:rPr>
                <w:rFonts w:ascii="Century Gothic" w:hAnsi="Century Gothic"/>
                <w:bCs/>
                <w:sz w:val="18"/>
                <w:szCs w:val="18"/>
              </w:rPr>
            </w:pPr>
            <w:r w:rsidRPr="008E781C">
              <w:rPr>
                <w:rFonts w:ascii="Century Gothic" w:hAnsi="Century Gothic"/>
                <w:bCs/>
                <w:sz w:val="18"/>
                <w:szCs w:val="18"/>
              </w:rPr>
              <w:t xml:space="preserve">2. </w:t>
            </w:r>
            <w:r w:rsidR="006C16AC" w:rsidRPr="008E781C">
              <w:rPr>
                <w:rFonts w:ascii="Century Gothic" w:hAnsi="Century Gothic"/>
                <w:bCs/>
                <w:sz w:val="18"/>
                <w:szCs w:val="18"/>
              </w:rPr>
              <w:t xml:space="preserve">Carrying out </w:t>
            </w:r>
            <w:r w:rsidRPr="008E781C">
              <w:rPr>
                <w:rFonts w:ascii="Century Gothic" w:hAnsi="Century Gothic"/>
                <w:bCs/>
                <w:sz w:val="18"/>
                <w:szCs w:val="18"/>
              </w:rPr>
              <w:t xml:space="preserve">an investment with </w:t>
            </w:r>
            <w:r w:rsidRPr="008E781C">
              <w:rPr>
                <w:rFonts w:ascii="Century Gothic" w:hAnsi="Century Gothic"/>
                <w:b/>
                <w:bCs/>
                <w:sz w:val="18"/>
                <w:szCs w:val="18"/>
              </w:rPr>
              <w:t>relevant socioeconomic impact in the geographical area</w:t>
            </w:r>
            <w:r w:rsidRPr="008E781C">
              <w:rPr>
                <w:rFonts w:ascii="Century Gothic" w:hAnsi="Century Gothic"/>
                <w:bCs/>
                <w:sz w:val="18"/>
                <w:szCs w:val="18"/>
              </w:rPr>
              <w:t xml:space="preserve"> in which the activity will be developed.</w:t>
            </w:r>
          </w:p>
          <w:p w14:paraId="2D155BF3" w14:textId="0B001DBC" w:rsidR="0009039B" w:rsidRPr="008E781C" w:rsidRDefault="0009039B" w:rsidP="001F39E0">
            <w:pPr>
              <w:jc w:val="both"/>
              <w:rPr>
                <w:rFonts w:ascii="Century Gothic" w:hAnsi="Century Gothic"/>
                <w:bCs/>
                <w:sz w:val="18"/>
                <w:szCs w:val="18"/>
              </w:rPr>
            </w:pPr>
            <w:r w:rsidRPr="008E781C">
              <w:rPr>
                <w:rFonts w:ascii="Century Gothic" w:hAnsi="Century Gothic"/>
                <w:bCs/>
                <w:sz w:val="18"/>
                <w:szCs w:val="18"/>
              </w:rPr>
              <w:t xml:space="preserve">3. </w:t>
            </w:r>
            <w:r w:rsidR="006C16AC" w:rsidRPr="008E781C">
              <w:rPr>
                <w:rFonts w:ascii="Century Gothic" w:hAnsi="Century Gothic"/>
                <w:bCs/>
                <w:sz w:val="18"/>
                <w:szCs w:val="18"/>
              </w:rPr>
              <w:t xml:space="preserve">Making a </w:t>
            </w:r>
            <w:r w:rsidR="006C16AC" w:rsidRPr="008E781C">
              <w:rPr>
                <w:rFonts w:ascii="Century Gothic" w:hAnsi="Century Gothic"/>
                <w:b/>
                <w:bCs/>
                <w:sz w:val="18"/>
                <w:szCs w:val="18"/>
              </w:rPr>
              <w:t xml:space="preserve">relevant </w:t>
            </w:r>
            <w:r w:rsidRPr="008E781C">
              <w:rPr>
                <w:rFonts w:ascii="Century Gothic" w:hAnsi="Century Gothic"/>
                <w:b/>
                <w:bCs/>
                <w:sz w:val="18"/>
                <w:szCs w:val="18"/>
              </w:rPr>
              <w:t>contribution to scientific and/or technological innovation</w:t>
            </w:r>
            <w:r w:rsidRPr="008E781C">
              <w:rPr>
                <w:rFonts w:ascii="Century Gothic" w:hAnsi="Century Gothic"/>
                <w:bCs/>
                <w:sz w:val="18"/>
                <w:szCs w:val="18"/>
              </w:rPr>
              <w:t>.</w:t>
            </w:r>
          </w:p>
        </w:tc>
        <w:tc>
          <w:tcPr>
            <w:tcW w:w="476" w:type="pct"/>
            <w:shd w:val="clear" w:color="auto" w:fill="D9D9D9" w:themeFill="background1" w:themeFillShade="D9"/>
          </w:tcPr>
          <w:p w14:paraId="27754269" w14:textId="18A0B27D" w:rsidR="0009039B" w:rsidRPr="008E781C" w:rsidRDefault="006C16AC" w:rsidP="001F39E0">
            <w:pPr>
              <w:jc w:val="both"/>
              <w:rPr>
                <w:rFonts w:ascii="Century Gothic" w:hAnsi="Century Gothic"/>
                <w:bCs/>
                <w:sz w:val="18"/>
                <w:szCs w:val="18"/>
              </w:rPr>
            </w:pPr>
            <w:r w:rsidRPr="008E781C">
              <w:rPr>
                <w:rFonts w:ascii="Century Gothic" w:hAnsi="Century Gothic"/>
                <w:bCs/>
                <w:sz w:val="18"/>
                <w:szCs w:val="18"/>
              </w:rPr>
              <w:lastRenderedPageBreak/>
              <w:t>N/A (no financial threshold is set)</w:t>
            </w:r>
          </w:p>
        </w:tc>
        <w:tc>
          <w:tcPr>
            <w:tcW w:w="2971" w:type="pct"/>
            <w:shd w:val="clear" w:color="auto" w:fill="D9D9D9" w:themeFill="background1" w:themeFillShade="D9"/>
          </w:tcPr>
          <w:p w14:paraId="68E78A1A" w14:textId="0CF0BB5F" w:rsidR="00976C53" w:rsidRPr="008E781C" w:rsidRDefault="00976C53" w:rsidP="001F39E0">
            <w:pPr>
              <w:jc w:val="both"/>
              <w:rPr>
                <w:rFonts w:ascii="Century Gothic" w:hAnsi="Century Gothic"/>
                <w:bCs/>
                <w:sz w:val="18"/>
                <w:szCs w:val="18"/>
              </w:rPr>
            </w:pPr>
            <w:r w:rsidRPr="008E781C">
              <w:rPr>
                <w:rFonts w:ascii="Century Gothic" w:hAnsi="Century Gothic"/>
                <w:bCs/>
                <w:sz w:val="18"/>
                <w:szCs w:val="18"/>
              </w:rPr>
              <w:t xml:space="preserve">Where the investor applies for an </w:t>
            </w:r>
            <w:r w:rsidRPr="008E781C">
              <w:rPr>
                <w:rFonts w:ascii="Century Gothic" w:hAnsi="Century Gothic"/>
                <w:b/>
                <w:bCs/>
                <w:sz w:val="18"/>
                <w:szCs w:val="18"/>
              </w:rPr>
              <w:t>investors’ residence visa</w:t>
            </w:r>
            <w:r w:rsidRPr="008E781C">
              <w:rPr>
                <w:rFonts w:ascii="Century Gothic" w:hAnsi="Century Gothic"/>
                <w:bCs/>
                <w:sz w:val="18"/>
                <w:szCs w:val="18"/>
              </w:rPr>
              <w:t xml:space="preserve">, the application must be accompanied by a favourable </w:t>
            </w:r>
            <w:r w:rsidR="0009039B" w:rsidRPr="008E781C">
              <w:rPr>
                <w:rFonts w:ascii="Century Gothic" w:hAnsi="Century Gothic"/>
                <w:bCs/>
                <w:sz w:val="18"/>
                <w:szCs w:val="18"/>
              </w:rPr>
              <w:t xml:space="preserve">report </w:t>
            </w:r>
            <w:r w:rsidRPr="008E781C">
              <w:rPr>
                <w:rFonts w:ascii="Century Gothic" w:hAnsi="Century Gothic"/>
                <w:bCs/>
                <w:sz w:val="18"/>
                <w:szCs w:val="18"/>
              </w:rPr>
              <w:t>of</w:t>
            </w:r>
            <w:r w:rsidR="0009039B" w:rsidRPr="008E781C">
              <w:rPr>
                <w:rFonts w:ascii="Century Gothic" w:hAnsi="Century Gothic"/>
                <w:bCs/>
                <w:sz w:val="18"/>
                <w:szCs w:val="18"/>
              </w:rPr>
              <w:t xml:space="preserve"> the Economic and Commercial Office</w:t>
            </w:r>
            <w:r w:rsidR="00BB6838" w:rsidRPr="008E781C">
              <w:rPr>
                <w:rFonts w:ascii="Century Gothic" w:hAnsi="Century Gothic"/>
                <w:bCs/>
                <w:sz w:val="18"/>
                <w:szCs w:val="18"/>
              </w:rPr>
              <w:t xml:space="preserve"> </w:t>
            </w:r>
            <w:r w:rsidR="0009039B" w:rsidRPr="008E781C">
              <w:rPr>
                <w:rFonts w:ascii="Century Gothic" w:hAnsi="Century Gothic"/>
                <w:bCs/>
                <w:sz w:val="18"/>
                <w:szCs w:val="18"/>
              </w:rPr>
              <w:t xml:space="preserve">of the </w:t>
            </w:r>
            <w:r w:rsidRPr="008E781C">
              <w:rPr>
                <w:rFonts w:ascii="Century Gothic" w:hAnsi="Century Gothic"/>
                <w:bCs/>
                <w:sz w:val="18"/>
                <w:szCs w:val="18"/>
              </w:rPr>
              <w:t>geographical jurisdictional area</w:t>
            </w:r>
            <w:r w:rsidR="0009039B" w:rsidRPr="008E781C">
              <w:rPr>
                <w:rFonts w:ascii="Century Gothic" w:hAnsi="Century Gothic"/>
                <w:bCs/>
                <w:sz w:val="18"/>
                <w:szCs w:val="18"/>
              </w:rPr>
              <w:t xml:space="preserve"> where the investor submits the visa application. </w:t>
            </w:r>
            <w:r w:rsidRPr="008E781C">
              <w:rPr>
                <w:rFonts w:ascii="Century Gothic" w:hAnsi="Century Gothic"/>
                <w:bCs/>
                <w:sz w:val="18"/>
                <w:szCs w:val="18"/>
              </w:rPr>
              <w:t>The report aims to verify that there is a general interest in the presented business project as an investment.</w:t>
            </w:r>
            <w:r w:rsidRPr="008E781C">
              <w:rPr>
                <w:rStyle w:val="FootnoteReference"/>
                <w:rFonts w:ascii="Century Gothic" w:hAnsi="Century Gothic"/>
                <w:bCs/>
                <w:sz w:val="18"/>
                <w:szCs w:val="18"/>
              </w:rPr>
              <w:footnoteReference w:id="185"/>
            </w:r>
            <w:r w:rsidRPr="008E781C">
              <w:rPr>
                <w:rFonts w:ascii="Century Gothic" w:hAnsi="Century Gothic"/>
                <w:bCs/>
                <w:sz w:val="18"/>
                <w:szCs w:val="18"/>
              </w:rPr>
              <w:t xml:space="preserve"> In the case of an application for an </w:t>
            </w:r>
            <w:r w:rsidRPr="008E781C">
              <w:rPr>
                <w:rFonts w:ascii="Century Gothic" w:hAnsi="Century Gothic"/>
                <w:b/>
                <w:bCs/>
                <w:sz w:val="18"/>
                <w:szCs w:val="18"/>
              </w:rPr>
              <w:t>investors’ residence authorisation</w:t>
            </w:r>
            <w:r w:rsidRPr="008E781C">
              <w:rPr>
                <w:rFonts w:ascii="Century Gothic" w:hAnsi="Century Gothic"/>
                <w:bCs/>
                <w:sz w:val="18"/>
                <w:szCs w:val="18"/>
              </w:rPr>
              <w:t xml:space="preserve"> the competent authority to issue this report is</w:t>
            </w:r>
            <w:r w:rsidR="00E8746D" w:rsidRPr="008E781C">
              <w:rPr>
                <w:rFonts w:ascii="Century Gothic" w:hAnsi="Century Gothic"/>
                <w:bCs/>
                <w:sz w:val="18"/>
                <w:szCs w:val="18"/>
              </w:rPr>
              <w:t xml:space="preserve"> the General Directorate of International Trade and Investments of the Ministry of Economy and Competitiveness.</w:t>
            </w:r>
            <w:r w:rsidR="00E8746D" w:rsidRPr="008E781C">
              <w:rPr>
                <w:rStyle w:val="FootnoteReference"/>
                <w:rFonts w:ascii="Century Gothic" w:hAnsi="Century Gothic"/>
                <w:bCs/>
                <w:sz w:val="18"/>
                <w:szCs w:val="18"/>
              </w:rPr>
              <w:footnoteReference w:id="186"/>
            </w:r>
            <w:r w:rsidR="00E8746D" w:rsidRPr="008E781C">
              <w:rPr>
                <w:rFonts w:ascii="Century Gothic" w:hAnsi="Century Gothic"/>
                <w:bCs/>
                <w:sz w:val="18"/>
                <w:szCs w:val="18"/>
              </w:rPr>
              <w:t xml:space="preserve"> Wh</w:t>
            </w:r>
            <w:r w:rsidRPr="008E781C">
              <w:rPr>
                <w:rFonts w:ascii="Century Gothic" w:hAnsi="Century Gothic"/>
                <w:bCs/>
                <w:sz w:val="18"/>
                <w:szCs w:val="18"/>
              </w:rPr>
              <w:t xml:space="preserve">ere the investor holds a prior residence visa, the report aims to certify that the conditions </w:t>
            </w:r>
            <w:r w:rsidR="00BB6838" w:rsidRPr="008E781C">
              <w:rPr>
                <w:rFonts w:ascii="Century Gothic" w:hAnsi="Century Gothic"/>
                <w:bCs/>
                <w:sz w:val="18"/>
                <w:szCs w:val="18"/>
              </w:rPr>
              <w:t>present when the visa was issued</w:t>
            </w:r>
            <w:r w:rsidRPr="008E781C">
              <w:rPr>
                <w:rFonts w:ascii="Century Gothic" w:hAnsi="Century Gothic"/>
                <w:bCs/>
                <w:sz w:val="18"/>
                <w:szCs w:val="18"/>
              </w:rPr>
              <w:t xml:space="preserve"> have not ceased to exist</w:t>
            </w:r>
            <w:r w:rsidR="00E8746D" w:rsidRPr="008E781C">
              <w:rPr>
                <w:rFonts w:ascii="Century Gothic" w:hAnsi="Century Gothic"/>
                <w:bCs/>
                <w:sz w:val="18"/>
                <w:szCs w:val="18"/>
              </w:rPr>
              <w:t>.</w:t>
            </w:r>
            <w:r w:rsidR="00E8746D" w:rsidRPr="008E781C">
              <w:rPr>
                <w:rStyle w:val="FootnoteReference"/>
                <w:rFonts w:ascii="Century Gothic" w:hAnsi="Century Gothic"/>
                <w:bCs/>
                <w:sz w:val="18"/>
                <w:szCs w:val="18"/>
              </w:rPr>
              <w:footnoteReference w:id="187"/>
            </w:r>
            <w:r w:rsidR="00E8746D" w:rsidRPr="008E781C">
              <w:rPr>
                <w:rFonts w:ascii="Century Gothic" w:hAnsi="Century Gothic"/>
                <w:bCs/>
                <w:sz w:val="18"/>
                <w:szCs w:val="18"/>
              </w:rPr>
              <w:t xml:space="preserve"> Where the investor does not hold a prior residence visa but is legally in Spain, the report aims to verify that the business project meets the conditions set in the law.</w:t>
            </w:r>
            <w:r w:rsidR="00E8746D" w:rsidRPr="008E781C">
              <w:rPr>
                <w:rStyle w:val="FootnoteReference"/>
                <w:rFonts w:ascii="Century Gothic" w:hAnsi="Century Gothic"/>
                <w:bCs/>
                <w:sz w:val="18"/>
                <w:szCs w:val="18"/>
              </w:rPr>
              <w:footnoteReference w:id="188"/>
            </w:r>
          </w:p>
          <w:p w14:paraId="0A846B64" w14:textId="77777777" w:rsidR="0009039B" w:rsidRPr="008E781C" w:rsidRDefault="0009039B" w:rsidP="001F39E0">
            <w:pPr>
              <w:jc w:val="both"/>
              <w:rPr>
                <w:rFonts w:ascii="Century Gothic" w:hAnsi="Century Gothic"/>
                <w:bCs/>
                <w:sz w:val="18"/>
                <w:szCs w:val="18"/>
              </w:rPr>
            </w:pPr>
          </w:p>
          <w:p w14:paraId="3CA2C89B" w14:textId="5C8CF5D0" w:rsidR="0009039B" w:rsidRPr="008E781C" w:rsidRDefault="00BB6838" w:rsidP="001F39E0">
            <w:pPr>
              <w:jc w:val="both"/>
              <w:rPr>
                <w:rFonts w:ascii="Century Gothic" w:hAnsi="Century Gothic"/>
                <w:bCs/>
                <w:sz w:val="18"/>
                <w:szCs w:val="18"/>
              </w:rPr>
            </w:pPr>
            <w:r w:rsidRPr="008E781C">
              <w:rPr>
                <w:rFonts w:ascii="Century Gothic" w:hAnsi="Century Gothic"/>
                <w:bCs/>
                <w:sz w:val="18"/>
                <w:szCs w:val="18"/>
              </w:rPr>
              <w:t>If</w:t>
            </w:r>
            <w:r w:rsidR="0009039B" w:rsidRPr="008E781C">
              <w:rPr>
                <w:rFonts w:ascii="Century Gothic" w:hAnsi="Century Gothic"/>
                <w:bCs/>
                <w:sz w:val="18"/>
                <w:szCs w:val="18"/>
              </w:rPr>
              <w:t xml:space="preserve"> the </w:t>
            </w:r>
            <w:r w:rsidR="0009039B" w:rsidRPr="008E781C">
              <w:rPr>
                <w:rFonts w:ascii="Century Gothic" w:hAnsi="Century Gothic"/>
                <w:b/>
                <w:bCs/>
                <w:sz w:val="18"/>
                <w:szCs w:val="18"/>
              </w:rPr>
              <w:t>investor appoints a representative for the management of the project</w:t>
            </w:r>
            <w:r w:rsidR="00E8746D" w:rsidRPr="008E781C">
              <w:rPr>
                <w:rFonts w:ascii="Century Gothic" w:hAnsi="Century Gothic"/>
                <w:bCs/>
                <w:sz w:val="18"/>
                <w:szCs w:val="18"/>
              </w:rPr>
              <w:t xml:space="preserve">, </w:t>
            </w:r>
            <w:r w:rsidR="0009039B" w:rsidRPr="008E781C">
              <w:rPr>
                <w:rFonts w:ascii="Century Gothic" w:hAnsi="Century Gothic"/>
                <w:bCs/>
                <w:sz w:val="18"/>
                <w:szCs w:val="18"/>
              </w:rPr>
              <w:t xml:space="preserve">the Economic and Commercial Office will assess the need of intervention of the representative for the good </w:t>
            </w:r>
            <w:r w:rsidR="0009039B" w:rsidRPr="008E781C">
              <w:rPr>
                <w:rFonts w:ascii="Century Gothic" w:hAnsi="Century Gothic"/>
                <w:bCs/>
                <w:sz w:val="18"/>
                <w:szCs w:val="18"/>
              </w:rPr>
              <w:lastRenderedPageBreak/>
              <w:t>management of the project.</w:t>
            </w:r>
            <w:r w:rsidR="00E8746D" w:rsidRPr="008E781C">
              <w:rPr>
                <w:rStyle w:val="FootnoteReference"/>
                <w:rFonts w:ascii="Century Gothic" w:hAnsi="Century Gothic"/>
                <w:bCs/>
                <w:sz w:val="18"/>
                <w:szCs w:val="18"/>
              </w:rPr>
              <w:footnoteReference w:id="189"/>
            </w:r>
            <w:r w:rsidR="00E8746D" w:rsidRPr="008E781C">
              <w:rPr>
                <w:rFonts w:ascii="Century Gothic" w:hAnsi="Century Gothic"/>
                <w:bCs/>
                <w:sz w:val="18"/>
                <w:szCs w:val="18"/>
              </w:rPr>
              <w:t xml:space="preserve"> Although this is only </w:t>
            </w:r>
            <w:r w:rsidRPr="008E781C">
              <w:rPr>
                <w:rFonts w:ascii="Century Gothic" w:hAnsi="Century Gothic"/>
                <w:bCs/>
                <w:sz w:val="18"/>
                <w:szCs w:val="18"/>
              </w:rPr>
              <w:t xml:space="preserve">required </w:t>
            </w:r>
            <w:r w:rsidR="00E8746D" w:rsidRPr="008E781C">
              <w:rPr>
                <w:rFonts w:ascii="Century Gothic" w:hAnsi="Century Gothic"/>
                <w:bCs/>
                <w:sz w:val="18"/>
                <w:szCs w:val="18"/>
              </w:rPr>
              <w:t xml:space="preserve">as regards the issuance of the </w:t>
            </w:r>
            <w:r w:rsidR="00E8746D" w:rsidRPr="008E781C">
              <w:rPr>
                <w:rFonts w:ascii="Century Gothic" w:hAnsi="Century Gothic"/>
                <w:b/>
                <w:bCs/>
                <w:sz w:val="18"/>
                <w:szCs w:val="18"/>
              </w:rPr>
              <w:t>investors’ residence visa</w:t>
            </w:r>
            <w:r w:rsidR="00E8746D" w:rsidRPr="008E781C">
              <w:rPr>
                <w:rFonts w:ascii="Century Gothic" w:hAnsi="Century Gothic"/>
                <w:bCs/>
                <w:sz w:val="18"/>
                <w:szCs w:val="18"/>
              </w:rPr>
              <w:t xml:space="preserve">, it is deemed that the same will apply when the permit concerned is the </w:t>
            </w:r>
            <w:r w:rsidR="00E8746D" w:rsidRPr="008E781C">
              <w:rPr>
                <w:rFonts w:ascii="Century Gothic" w:hAnsi="Century Gothic"/>
                <w:b/>
                <w:bCs/>
                <w:sz w:val="18"/>
                <w:szCs w:val="18"/>
              </w:rPr>
              <w:t xml:space="preserve">investors’ residence authorisation </w:t>
            </w:r>
            <w:r w:rsidR="00E8746D" w:rsidRPr="008E781C">
              <w:rPr>
                <w:rFonts w:ascii="Century Gothic" w:hAnsi="Century Gothic"/>
                <w:bCs/>
                <w:sz w:val="18"/>
                <w:szCs w:val="18"/>
              </w:rPr>
              <w:t xml:space="preserve"> as it would still be </w:t>
            </w:r>
            <w:r w:rsidR="00BF7479" w:rsidRPr="008E781C">
              <w:rPr>
                <w:rFonts w:ascii="Century Gothic" w:hAnsi="Century Gothic"/>
                <w:bCs/>
                <w:sz w:val="18"/>
                <w:szCs w:val="18"/>
              </w:rPr>
              <w:t xml:space="preserve">of </w:t>
            </w:r>
            <w:r w:rsidR="00E8746D" w:rsidRPr="008E781C">
              <w:rPr>
                <w:rFonts w:ascii="Century Gothic" w:hAnsi="Century Gothic"/>
                <w:bCs/>
                <w:sz w:val="18"/>
                <w:szCs w:val="18"/>
              </w:rPr>
              <w:t xml:space="preserve">paramount </w:t>
            </w:r>
            <w:r w:rsidR="00BF7479" w:rsidRPr="008E781C">
              <w:rPr>
                <w:rFonts w:ascii="Century Gothic" w:hAnsi="Century Gothic"/>
                <w:bCs/>
                <w:sz w:val="18"/>
                <w:szCs w:val="18"/>
              </w:rPr>
              <w:t xml:space="preserve">importance </w:t>
            </w:r>
            <w:r w:rsidR="00E8746D" w:rsidRPr="008E781C">
              <w:rPr>
                <w:rFonts w:ascii="Century Gothic" w:hAnsi="Century Gothic"/>
                <w:bCs/>
                <w:sz w:val="18"/>
                <w:szCs w:val="18"/>
              </w:rPr>
              <w:t>that the qualifications of the management representative are examined.</w:t>
            </w:r>
          </w:p>
          <w:p w14:paraId="58817469" w14:textId="3C11A7F2" w:rsidR="0009039B" w:rsidRPr="008E781C" w:rsidRDefault="0009039B" w:rsidP="001F39E0">
            <w:pPr>
              <w:jc w:val="both"/>
              <w:rPr>
                <w:rFonts w:ascii="Century Gothic" w:hAnsi="Century Gothic"/>
                <w:bCs/>
                <w:sz w:val="18"/>
                <w:szCs w:val="18"/>
              </w:rPr>
            </w:pPr>
          </w:p>
        </w:tc>
        <w:tc>
          <w:tcPr>
            <w:tcW w:w="783" w:type="pct"/>
            <w:vMerge/>
            <w:shd w:val="clear" w:color="auto" w:fill="F2F2F2" w:themeFill="background1" w:themeFillShade="F2"/>
          </w:tcPr>
          <w:p w14:paraId="795BB7CF" w14:textId="77777777" w:rsidR="0009039B" w:rsidRPr="008E781C" w:rsidRDefault="0009039B" w:rsidP="001F39E0">
            <w:pPr>
              <w:jc w:val="both"/>
              <w:rPr>
                <w:rFonts w:ascii="Century Gothic" w:hAnsi="Century Gothic"/>
                <w:bCs/>
                <w:sz w:val="18"/>
                <w:szCs w:val="18"/>
              </w:rPr>
            </w:pPr>
          </w:p>
        </w:tc>
      </w:tr>
      <w:bookmarkEnd w:id="21"/>
    </w:tbl>
    <w:p w14:paraId="781FDE1B" w14:textId="79525BB3" w:rsidR="00B311A7" w:rsidRPr="008E781C" w:rsidRDefault="00B311A7" w:rsidP="00BB6838">
      <w:pPr>
        <w:pStyle w:val="MBT"/>
        <w:rPr>
          <w:lang w:val="en-GB"/>
        </w:rPr>
      </w:pPr>
    </w:p>
    <w:p w14:paraId="6794E872" w14:textId="5D6E1B1F" w:rsidR="00CC15CC" w:rsidRDefault="00CC15CC">
      <w:pPr>
        <w:rPr>
          <w:bCs/>
          <w:sz w:val="22"/>
          <w:szCs w:val="22"/>
        </w:rPr>
      </w:pPr>
      <w:r>
        <w:br w:type="page"/>
      </w:r>
    </w:p>
    <w:p w14:paraId="7998B322" w14:textId="4E37E244" w:rsidR="00B311A7" w:rsidRPr="008E781C" w:rsidRDefault="00B311A7" w:rsidP="00A80347">
      <w:pPr>
        <w:pStyle w:val="MH1"/>
        <w:pageBreakBefore w:val="0"/>
        <w:spacing w:after="0"/>
        <w:ind w:left="431" w:hanging="431"/>
      </w:pPr>
      <w:bookmarkStart w:id="22" w:name="_Toc496025536"/>
      <w:bookmarkStart w:id="23" w:name="_Toc520923929"/>
      <w:r w:rsidRPr="008E781C">
        <w:lastRenderedPageBreak/>
        <w:t>Residence Phase</w:t>
      </w:r>
      <w:bookmarkEnd w:id="22"/>
      <w:bookmarkEnd w:id="23"/>
    </w:p>
    <w:p w14:paraId="50F02058" w14:textId="77777777" w:rsidR="00BB6838" w:rsidRPr="008E781C" w:rsidRDefault="00BB6838" w:rsidP="001F39E0">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347"/>
        <w:gridCol w:w="4881"/>
        <w:gridCol w:w="2411"/>
        <w:gridCol w:w="5299"/>
      </w:tblGrid>
      <w:tr w:rsidR="00BB6838" w:rsidRPr="008E781C" w14:paraId="3A729D2D" w14:textId="77777777" w:rsidTr="00E25ACA">
        <w:trPr>
          <w:tblHeader/>
        </w:trPr>
        <w:tc>
          <w:tcPr>
            <w:tcW w:w="483" w:type="pct"/>
            <w:shd w:val="clear" w:color="auto" w:fill="95B3D7" w:themeFill="accent1" w:themeFillTint="99"/>
            <w:vAlign w:val="center"/>
          </w:tcPr>
          <w:p w14:paraId="37CB60DA" w14:textId="06DDC3AA" w:rsidR="00B311A7" w:rsidRPr="008E781C" w:rsidRDefault="00B311A7" w:rsidP="00E25ACA">
            <w:pPr>
              <w:jc w:val="center"/>
              <w:rPr>
                <w:rFonts w:ascii="Century Gothic" w:hAnsi="Century Gothic"/>
                <w:b/>
                <w:bCs/>
                <w:sz w:val="18"/>
                <w:szCs w:val="18"/>
              </w:rPr>
            </w:pPr>
            <w:bookmarkStart w:id="24" w:name="_Hlk496122469"/>
            <w:r w:rsidRPr="008E781C">
              <w:rPr>
                <w:rFonts w:ascii="Century Gothic" w:hAnsi="Century Gothic"/>
                <w:b/>
                <w:bCs/>
                <w:sz w:val="18"/>
                <w:szCs w:val="18"/>
              </w:rPr>
              <w:t>Residence permit</w:t>
            </w:r>
          </w:p>
        </w:tc>
        <w:tc>
          <w:tcPr>
            <w:tcW w:w="1751" w:type="pct"/>
            <w:shd w:val="clear" w:color="auto" w:fill="95B3D7" w:themeFill="accent1" w:themeFillTint="99"/>
            <w:vAlign w:val="center"/>
          </w:tcPr>
          <w:p w14:paraId="4454C585" w14:textId="4DA249AB" w:rsidR="00B311A7" w:rsidRPr="008E781C" w:rsidRDefault="00B311A7" w:rsidP="00E25ACA">
            <w:pPr>
              <w:jc w:val="center"/>
              <w:rPr>
                <w:rFonts w:ascii="Century Gothic" w:hAnsi="Century Gothic"/>
                <w:b/>
                <w:bCs/>
                <w:i/>
                <w:sz w:val="18"/>
                <w:szCs w:val="18"/>
              </w:rPr>
            </w:pPr>
            <w:r w:rsidRPr="008E781C">
              <w:rPr>
                <w:rFonts w:ascii="Century Gothic" w:hAnsi="Century Gothic"/>
                <w:b/>
                <w:bCs/>
                <w:sz w:val="18"/>
                <w:szCs w:val="18"/>
              </w:rPr>
              <w:t>Procedure</w:t>
            </w:r>
          </w:p>
        </w:tc>
        <w:tc>
          <w:tcPr>
            <w:tcW w:w="865" w:type="pct"/>
            <w:shd w:val="clear" w:color="auto" w:fill="95B3D7" w:themeFill="accent1" w:themeFillTint="99"/>
            <w:vAlign w:val="center"/>
          </w:tcPr>
          <w:p w14:paraId="19AF3517" w14:textId="1B169D6E" w:rsidR="00B311A7" w:rsidRPr="008E781C" w:rsidRDefault="00B311A7" w:rsidP="00E25ACA">
            <w:pPr>
              <w:jc w:val="center"/>
              <w:rPr>
                <w:rFonts w:ascii="Century Gothic" w:hAnsi="Century Gothic"/>
                <w:b/>
                <w:bCs/>
                <w:sz w:val="18"/>
                <w:szCs w:val="18"/>
              </w:rPr>
            </w:pPr>
            <w:r w:rsidRPr="008E781C">
              <w:rPr>
                <w:rFonts w:ascii="Century Gothic" w:hAnsi="Century Gothic"/>
                <w:b/>
                <w:bCs/>
                <w:sz w:val="18"/>
                <w:szCs w:val="18"/>
              </w:rPr>
              <w:t>Competent authorities</w:t>
            </w:r>
            <w:r w:rsidR="00B65D4C" w:rsidRPr="008E781C">
              <w:rPr>
                <w:rFonts w:ascii="Century Gothic" w:hAnsi="Century Gothic"/>
                <w:b/>
                <w:bCs/>
                <w:sz w:val="18"/>
                <w:szCs w:val="18"/>
              </w:rPr>
              <w:t xml:space="preserve"> and non-public bodies</w:t>
            </w:r>
          </w:p>
        </w:tc>
        <w:tc>
          <w:tcPr>
            <w:tcW w:w="1902" w:type="pct"/>
            <w:shd w:val="clear" w:color="auto" w:fill="95B3D7" w:themeFill="accent1" w:themeFillTint="99"/>
            <w:vAlign w:val="center"/>
          </w:tcPr>
          <w:p w14:paraId="39DBA5C1" w14:textId="49D41529" w:rsidR="00B311A7" w:rsidRPr="008E781C" w:rsidRDefault="00B311A7" w:rsidP="00E25ACA">
            <w:pPr>
              <w:jc w:val="center"/>
              <w:rPr>
                <w:rFonts w:ascii="Century Gothic" w:hAnsi="Century Gothic"/>
                <w:b/>
                <w:bCs/>
                <w:sz w:val="18"/>
                <w:szCs w:val="18"/>
              </w:rPr>
            </w:pPr>
            <w:r w:rsidRPr="008E781C">
              <w:rPr>
                <w:rFonts w:ascii="Century Gothic" w:hAnsi="Century Gothic"/>
                <w:b/>
                <w:bCs/>
                <w:sz w:val="18"/>
                <w:szCs w:val="18"/>
              </w:rPr>
              <w:t>Renewal of the residence permit</w:t>
            </w:r>
          </w:p>
        </w:tc>
      </w:tr>
      <w:tr w:rsidR="00BB6838" w:rsidRPr="008E781C" w14:paraId="30B6D81C" w14:textId="77777777" w:rsidTr="00E25ACA">
        <w:tc>
          <w:tcPr>
            <w:tcW w:w="483" w:type="pct"/>
            <w:shd w:val="clear" w:color="auto" w:fill="D9D9D9" w:themeFill="background1" w:themeFillShade="D9"/>
          </w:tcPr>
          <w:p w14:paraId="0C3BE60E" w14:textId="79072923" w:rsidR="002C2EE7" w:rsidRPr="008E781C" w:rsidRDefault="00C86FCB" w:rsidP="001F39E0">
            <w:pPr>
              <w:jc w:val="both"/>
              <w:rPr>
                <w:rFonts w:ascii="Century Gothic" w:hAnsi="Century Gothic"/>
                <w:bCs/>
                <w:sz w:val="18"/>
                <w:szCs w:val="18"/>
              </w:rPr>
            </w:pPr>
            <w:r w:rsidRPr="008E781C">
              <w:rPr>
                <w:rFonts w:ascii="Century Gothic" w:hAnsi="Century Gothic"/>
                <w:bCs/>
                <w:sz w:val="18"/>
                <w:szCs w:val="18"/>
              </w:rPr>
              <w:t xml:space="preserve">The </w:t>
            </w:r>
            <w:r w:rsidR="00766595" w:rsidRPr="008E781C">
              <w:rPr>
                <w:rFonts w:ascii="Century Gothic" w:hAnsi="Century Gothic"/>
                <w:b/>
                <w:bCs/>
                <w:sz w:val="18"/>
                <w:szCs w:val="18"/>
              </w:rPr>
              <w:t>Investors’ residence visa</w:t>
            </w:r>
            <w:r w:rsidR="00C00463" w:rsidRPr="008E781C">
              <w:rPr>
                <w:rFonts w:ascii="Century Gothic" w:hAnsi="Century Gothic"/>
                <w:bCs/>
                <w:sz w:val="18"/>
                <w:szCs w:val="18"/>
              </w:rPr>
              <w:t xml:space="preserve"> grants</w:t>
            </w:r>
            <w:r w:rsidR="002C2EE7" w:rsidRPr="008E781C">
              <w:rPr>
                <w:rFonts w:ascii="Century Gothic" w:hAnsi="Century Gothic"/>
                <w:bCs/>
                <w:sz w:val="18"/>
                <w:szCs w:val="18"/>
              </w:rPr>
              <w:t xml:space="preserve"> the applicant the right to reside</w:t>
            </w:r>
            <w:r w:rsidR="00C00463" w:rsidRPr="008E781C">
              <w:rPr>
                <w:rFonts w:ascii="Century Gothic" w:hAnsi="Century Gothic"/>
                <w:bCs/>
                <w:sz w:val="18"/>
                <w:szCs w:val="18"/>
              </w:rPr>
              <w:t xml:space="preserve"> and work</w:t>
            </w:r>
            <w:r w:rsidR="002C2EE7" w:rsidRPr="008E781C">
              <w:rPr>
                <w:rFonts w:ascii="Century Gothic" w:hAnsi="Century Gothic"/>
                <w:bCs/>
                <w:sz w:val="18"/>
                <w:szCs w:val="18"/>
              </w:rPr>
              <w:t xml:space="preserve"> in Spain </w:t>
            </w:r>
            <w:r w:rsidRPr="008E781C">
              <w:rPr>
                <w:rFonts w:ascii="Century Gothic" w:hAnsi="Century Gothic"/>
                <w:bCs/>
                <w:sz w:val="18"/>
                <w:szCs w:val="18"/>
              </w:rPr>
              <w:t xml:space="preserve">for </w:t>
            </w:r>
            <w:r w:rsidR="002C2EE7" w:rsidRPr="008E781C">
              <w:rPr>
                <w:rFonts w:ascii="Century Gothic" w:hAnsi="Century Gothic"/>
                <w:bCs/>
                <w:sz w:val="18"/>
                <w:szCs w:val="18"/>
              </w:rPr>
              <w:t>1 year</w:t>
            </w:r>
            <w:r w:rsidR="00446E8A" w:rsidRPr="008E781C">
              <w:rPr>
                <w:rStyle w:val="FootnoteReference"/>
                <w:rFonts w:ascii="Century Gothic" w:hAnsi="Century Gothic"/>
                <w:bCs/>
                <w:sz w:val="18"/>
                <w:szCs w:val="18"/>
              </w:rPr>
              <w:footnoteReference w:id="190"/>
            </w:r>
            <w:r w:rsidR="00446E8A" w:rsidRPr="008E781C">
              <w:rPr>
                <w:rFonts w:ascii="Century Gothic" w:hAnsi="Century Gothic"/>
                <w:bCs/>
                <w:sz w:val="18"/>
                <w:szCs w:val="18"/>
              </w:rPr>
              <w:t xml:space="preserve"> (or 6 months when the investment is in real estate and</w:t>
            </w:r>
            <w:r w:rsidR="00BF7479" w:rsidRPr="008E781C">
              <w:rPr>
                <w:rFonts w:ascii="Century Gothic" w:hAnsi="Century Gothic"/>
                <w:bCs/>
                <w:sz w:val="18"/>
                <w:szCs w:val="18"/>
              </w:rPr>
              <w:t xml:space="preserve"> the purchase has not been formalised at the time of filing the application but</w:t>
            </w:r>
            <w:r w:rsidR="00446E8A" w:rsidRPr="008E781C">
              <w:rPr>
                <w:rFonts w:ascii="Century Gothic" w:hAnsi="Century Gothic"/>
                <w:bCs/>
                <w:sz w:val="18"/>
                <w:szCs w:val="18"/>
              </w:rPr>
              <w:t xml:space="preserve"> there is </w:t>
            </w:r>
            <w:r w:rsidR="00446E8A" w:rsidRPr="008E781C">
              <w:rPr>
                <w:rFonts w:ascii="Century Gothic" w:hAnsi="Century Gothic"/>
                <w:bCs/>
                <w:sz w:val="18"/>
                <w:szCs w:val="18"/>
              </w:rPr>
              <w:lastRenderedPageBreak/>
              <w:t>only a pre-contract)</w:t>
            </w:r>
            <w:r w:rsidR="00446E8A" w:rsidRPr="008E781C">
              <w:rPr>
                <w:rStyle w:val="FootnoteReference"/>
                <w:rFonts w:ascii="Century Gothic" w:hAnsi="Century Gothic"/>
                <w:bCs/>
                <w:sz w:val="18"/>
                <w:szCs w:val="18"/>
              </w:rPr>
              <w:footnoteReference w:id="191"/>
            </w:r>
          </w:p>
          <w:p w14:paraId="0E7C312C" w14:textId="77777777" w:rsidR="002C2EE7" w:rsidRPr="008E781C" w:rsidRDefault="002C2EE7" w:rsidP="001F39E0">
            <w:pPr>
              <w:jc w:val="both"/>
              <w:rPr>
                <w:rFonts w:ascii="Century Gothic" w:hAnsi="Century Gothic"/>
                <w:bCs/>
                <w:sz w:val="18"/>
                <w:szCs w:val="18"/>
              </w:rPr>
            </w:pPr>
          </w:p>
          <w:p w14:paraId="5A04ACCD" w14:textId="256B9561" w:rsidR="00ED37A8" w:rsidRPr="008E781C" w:rsidRDefault="00ED37A8" w:rsidP="001F39E0">
            <w:pPr>
              <w:jc w:val="both"/>
              <w:rPr>
                <w:rFonts w:ascii="Century Gothic" w:hAnsi="Century Gothic"/>
                <w:bCs/>
                <w:sz w:val="18"/>
                <w:szCs w:val="18"/>
              </w:rPr>
            </w:pPr>
          </w:p>
        </w:tc>
        <w:tc>
          <w:tcPr>
            <w:tcW w:w="1751" w:type="pct"/>
            <w:shd w:val="clear" w:color="auto" w:fill="D9D9D9" w:themeFill="background1" w:themeFillShade="D9"/>
          </w:tcPr>
          <w:p w14:paraId="5520F975" w14:textId="45E9B9E5" w:rsidR="005520F6" w:rsidRPr="008E781C" w:rsidRDefault="00446E8A" w:rsidP="001F39E0">
            <w:pPr>
              <w:jc w:val="both"/>
              <w:rPr>
                <w:rFonts w:ascii="Century Gothic" w:hAnsi="Century Gothic"/>
                <w:bCs/>
                <w:sz w:val="18"/>
                <w:szCs w:val="18"/>
              </w:rPr>
            </w:pPr>
            <w:r w:rsidRPr="008E781C">
              <w:rPr>
                <w:rFonts w:ascii="Century Gothic" w:hAnsi="Century Gothic"/>
                <w:bCs/>
                <w:sz w:val="18"/>
                <w:szCs w:val="18"/>
              </w:rPr>
              <w:lastRenderedPageBreak/>
              <w:t xml:space="preserve">One of the requirements to obtain the investors’ residence visa is to prove that the </w:t>
            </w:r>
            <w:r w:rsidRPr="008E781C">
              <w:rPr>
                <w:rFonts w:ascii="Century Gothic" w:hAnsi="Century Gothic"/>
                <w:b/>
                <w:bCs/>
                <w:sz w:val="18"/>
                <w:szCs w:val="18"/>
              </w:rPr>
              <w:t>applicant has secured an accommodation for the whole</w:t>
            </w:r>
            <w:r w:rsidR="005520F6" w:rsidRPr="008E781C">
              <w:rPr>
                <w:rFonts w:ascii="Century Gothic" w:hAnsi="Century Gothic"/>
                <w:b/>
                <w:bCs/>
                <w:sz w:val="18"/>
                <w:szCs w:val="18"/>
              </w:rPr>
              <w:t xml:space="preserve"> duration of the intended residence</w:t>
            </w:r>
            <w:r w:rsidR="005520F6" w:rsidRPr="008E781C">
              <w:rPr>
                <w:rFonts w:ascii="Century Gothic" w:hAnsi="Century Gothic"/>
                <w:bCs/>
                <w:sz w:val="18"/>
                <w:szCs w:val="18"/>
              </w:rPr>
              <w:t xml:space="preserve"> </w:t>
            </w:r>
            <w:r w:rsidR="005520F6" w:rsidRPr="008E781C">
              <w:rPr>
                <w:rFonts w:ascii="Century Gothic" w:hAnsi="Century Gothic"/>
                <w:b/>
                <w:bCs/>
                <w:sz w:val="18"/>
                <w:szCs w:val="18"/>
              </w:rPr>
              <w:t>or proves to have sufficient means</w:t>
            </w:r>
            <w:r w:rsidR="005520F6" w:rsidRPr="008E781C">
              <w:rPr>
                <w:rFonts w:ascii="Century Gothic" w:hAnsi="Century Gothic"/>
                <w:bCs/>
                <w:sz w:val="18"/>
                <w:szCs w:val="18"/>
              </w:rPr>
              <w:t xml:space="preserve"> to cover </w:t>
            </w:r>
            <w:r w:rsidR="00BF7479" w:rsidRPr="008E781C">
              <w:rPr>
                <w:rFonts w:ascii="Century Gothic" w:hAnsi="Century Gothic"/>
                <w:bCs/>
                <w:sz w:val="18"/>
                <w:szCs w:val="18"/>
              </w:rPr>
              <w:t>such</w:t>
            </w:r>
            <w:r w:rsidR="005520F6" w:rsidRPr="008E781C">
              <w:rPr>
                <w:rFonts w:ascii="Century Gothic" w:hAnsi="Century Gothic"/>
                <w:bCs/>
                <w:sz w:val="18"/>
                <w:szCs w:val="18"/>
              </w:rPr>
              <w:t xml:space="preserve"> accommodation.</w:t>
            </w:r>
            <w:r w:rsidR="005520F6" w:rsidRPr="008E781C">
              <w:rPr>
                <w:rFonts w:ascii="Century Gothic" w:hAnsi="Century Gothic"/>
                <w:bCs/>
                <w:sz w:val="18"/>
                <w:szCs w:val="18"/>
                <w:vertAlign w:val="superscript"/>
              </w:rPr>
              <w:footnoteReference w:id="192"/>
            </w:r>
            <w:r w:rsidR="005520F6" w:rsidRPr="008E781C">
              <w:rPr>
                <w:rFonts w:ascii="Century Gothic" w:hAnsi="Century Gothic"/>
                <w:bCs/>
                <w:sz w:val="18"/>
                <w:szCs w:val="18"/>
              </w:rPr>
              <w:t xml:space="preserve"> </w:t>
            </w:r>
            <w:r w:rsidR="00FE4BD8" w:rsidRPr="008E781C">
              <w:rPr>
                <w:rFonts w:ascii="Century Gothic" w:hAnsi="Century Gothic"/>
                <w:bCs/>
                <w:sz w:val="18"/>
                <w:szCs w:val="18"/>
              </w:rPr>
              <w:t xml:space="preserve">The fulfilment of </w:t>
            </w:r>
            <w:r w:rsidR="00BF7479" w:rsidRPr="008E781C">
              <w:rPr>
                <w:rFonts w:ascii="Century Gothic" w:hAnsi="Century Gothic"/>
                <w:bCs/>
                <w:sz w:val="18"/>
                <w:szCs w:val="18"/>
              </w:rPr>
              <w:t>this</w:t>
            </w:r>
            <w:r w:rsidR="005520F6" w:rsidRPr="008E781C">
              <w:rPr>
                <w:rFonts w:ascii="Century Gothic" w:hAnsi="Century Gothic"/>
                <w:bCs/>
                <w:sz w:val="18"/>
                <w:szCs w:val="18"/>
              </w:rPr>
              <w:t xml:space="preserve"> requirement is examined by the consulate or diplomatic </w:t>
            </w:r>
            <w:r w:rsidR="00BF7479" w:rsidRPr="008E781C">
              <w:rPr>
                <w:rFonts w:ascii="Century Gothic" w:hAnsi="Century Gothic"/>
                <w:bCs/>
                <w:sz w:val="18"/>
                <w:szCs w:val="18"/>
              </w:rPr>
              <w:t>mission</w:t>
            </w:r>
            <w:r w:rsidR="005520F6" w:rsidRPr="008E781C">
              <w:rPr>
                <w:rFonts w:ascii="Century Gothic" w:hAnsi="Century Gothic"/>
                <w:bCs/>
                <w:sz w:val="18"/>
                <w:szCs w:val="18"/>
              </w:rPr>
              <w:t xml:space="preserve"> – once the application has been filed.</w:t>
            </w:r>
            <w:r w:rsidR="00FE4BD8" w:rsidRPr="008E781C">
              <w:rPr>
                <w:rStyle w:val="FootnoteReference"/>
                <w:rFonts w:ascii="Century Gothic" w:hAnsi="Century Gothic"/>
                <w:bCs/>
                <w:sz w:val="18"/>
                <w:szCs w:val="18"/>
              </w:rPr>
              <w:footnoteReference w:id="193"/>
            </w:r>
            <w:r w:rsidR="005520F6" w:rsidRPr="008E781C">
              <w:rPr>
                <w:rFonts w:ascii="Century Gothic" w:hAnsi="Century Gothic"/>
                <w:bCs/>
                <w:sz w:val="18"/>
                <w:szCs w:val="18"/>
              </w:rPr>
              <w:t xml:space="preserve"> </w:t>
            </w:r>
            <w:r w:rsidR="00FE4BD8" w:rsidRPr="008E781C">
              <w:rPr>
                <w:rFonts w:ascii="Century Gothic" w:hAnsi="Century Gothic"/>
                <w:bCs/>
                <w:sz w:val="18"/>
                <w:szCs w:val="18"/>
              </w:rPr>
              <w:t xml:space="preserve">Regulation 810/2009 also foresees the possibility that </w:t>
            </w:r>
            <w:r w:rsidR="00FE4BD8" w:rsidRPr="008E781C">
              <w:rPr>
                <w:rFonts w:ascii="Century Gothic" w:hAnsi="Century Gothic"/>
                <w:b/>
                <w:bCs/>
                <w:sz w:val="18"/>
                <w:szCs w:val="18"/>
              </w:rPr>
              <w:t>the consulate</w:t>
            </w:r>
            <w:r w:rsidR="00FE4BD8" w:rsidRPr="008E781C">
              <w:rPr>
                <w:rFonts w:ascii="Century Gothic" w:hAnsi="Century Gothic"/>
                <w:bCs/>
                <w:sz w:val="18"/>
                <w:szCs w:val="18"/>
              </w:rPr>
              <w:t xml:space="preserve"> or diplomatic mission, following their own discretion, in justified cases,</w:t>
            </w:r>
            <w:r w:rsidR="00FE4BD8" w:rsidRPr="008E781C">
              <w:rPr>
                <w:rFonts w:ascii="Century Gothic" w:hAnsi="Century Gothic"/>
                <w:b/>
                <w:bCs/>
                <w:sz w:val="18"/>
                <w:szCs w:val="18"/>
              </w:rPr>
              <w:t xml:space="preserve"> requests the applicant to appear in person for a personal interview</w:t>
            </w:r>
            <w:r w:rsidR="00FE4BD8" w:rsidRPr="008E781C">
              <w:rPr>
                <w:rFonts w:ascii="Century Gothic" w:hAnsi="Century Gothic"/>
                <w:bCs/>
                <w:sz w:val="18"/>
                <w:szCs w:val="18"/>
              </w:rPr>
              <w:t xml:space="preserve"> and to present </w:t>
            </w:r>
            <w:r w:rsidR="00FE4BD8" w:rsidRPr="008E781C">
              <w:rPr>
                <w:rFonts w:ascii="Century Gothic" w:hAnsi="Century Gothic"/>
                <w:b/>
                <w:bCs/>
                <w:sz w:val="18"/>
                <w:szCs w:val="18"/>
              </w:rPr>
              <w:t>additional documents</w:t>
            </w:r>
            <w:r w:rsidR="00FE4BD8" w:rsidRPr="008E781C">
              <w:rPr>
                <w:rFonts w:ascii="Century Gothic" w:hAnsi="Century Gothic"/>
                <w:bCs/>
                <w:sz w:val="18"/>
                <w:szCs w:val="18"/>
              </w:rPr>
              <w:t>.</w:t>
            </w:r>
            <w:r w:rsidR="00FE4BD8" w:rsidRPr="008E781C">
              <w:rPr>
                <w:rStyle w:val="FootnoteReference"/>
                <w:rFonts w:ascii="Century Gothic" w:hAnsi="Century Gothic"/>
                <w:bCs/>
                <w:sz w:val="18"/>
                <w:szCs w:val="18"/>
              </w:rPr>
              <w:footnoteReference w:id="194"/>
            </w:r>
            <w:r w:rsidR="004D7898" w:rsidRPr="008E781C">
              <w:rPr>
                <w:rFonts w:ascii="Century Gothic" w:hAnsi="Century Gothic"/>
                <w:bCs/>
                <w:sz w:val="18"/>
                <w:szCs w:val="18"/>
              </w:rPr>
              <w:t xml:space="preserve"> In practice, this interview is seldom carried out; the interview only takes place in cases where the documentation provided needs to be clarified, where the applicant requests a meeting with the consulate or where the investment  is of special interest (e.g. because it is a business project that is </w:t>
            </w:r>
            <w:r w:rsidR="009C6285" w:rsidRPr="008E781C">
              <w:rPr>
                <w:rFonts w:ascii="Century Gothic" w:hAnsi="Century Gothic"/>
                <w:bCs/>
                <w:sz w:val="18"/>
                <w:szCs w:val="18"/>
              </w:rPr>
              <w:t>particularly</w:t>
            </w:r>
            <w:r w:rsidR="004D7898" w:rsidRPr="008E781C">
              <w:rPr>
                <w:rFonts w:ascii="Century Gothic" w:hAnsi="Century Gothic"/>
                <w:bCs/>
                <w:sz w:val="18"/>
                <w:szCs w:val="18"/>
              </w:rPr>
              <w:t xml:space="preserve"> innovative). Since it depends on the discretion of the consulate to decide whether or not an interview is necessary, no standardised forms or guidelines exist regarding such interviews.</w:t>
            </w:r>
            <w:r w:rsidR="004D7898" w:rsidRPr="008E781C">
              <w:rPr>
                <w:rStyle w:val="FootnoteReference"/>
                <w:rFonts w:ascii="Century Gothic" w:hAnsi="Century Gothic"/>
                <w:bCs/>
                <w:sz w:val="18"/>
                <w:szCs w:val="18"/>
              </w:rPr>
              <w:footnoteReference w:id="195"/>
            </w:r>
          </w:p>
          <w:p w14:paraId="051B5BE8" w14:textId="77777777" w:rsidR="004C70FE" w:rsidRPr="008E781C" w:rsidRDefault="004C70FE" w:rsidP="001F39E0">
            <w:pPr>
              <w:jc w:val="both"/>
              <w:rPr>
                <w:rFonts w:ascii="Century Gothic" w:hAnsi="Century Gothic"/>
                <w:bCs/>
                <w:sz w:val="18"/>
                <w:szCs w:val="18"/>
              </w:rPr>
            </w:pPr>
          </w:p>
          <w:p w14:paraId="2308D7A4" w14:textId="328D6726" w:rsidR="004C70FE" w:rsidRPr="008E781C" w:rsidRDefault="004C70FE" w:rsidP="001F39E0">
            <w:pPr>
              <w:jc w:val="both"/>
              <w:rPr>
                <w:rFonts w:ascii="Century Gothic" w:hAnsi="Century Gothic"/>
                <w:bCs/>
                <w:sz w:val="18"/>
                <w:szCs w:val="18"/>
              </w:rPr>
            </w:pPr>
            <w:r w:rsidRPr="008E781C">
              <w:rPr>
                <w:rFonts w:ascii="Century Gothic" w:hAnsi="Century Gothic"/>
                <w:b/>
                <w:bCs/>
                <w:sz w:val="18"/>
                <w:szCs w:val="18"/>
              </w:rPr>
              <w:lastRenderedPageBreak/>
              <w:t xml:space="preserve">During the period of validity of the investors’ </w:t>
            </w:r>
            <w:r w:rsidR="00DD7739" w:rsidRPr="008E781C">
              <w:rPr>
                <w:rFonts w:ascii="Century Gothic" w:hAnsi="Century Gothic"/>
                <w:b/>
                <w:bCs/>
                <w:sz w:val="18"/>
                <w:szCs w:val="18"/>
              </w:rPr>
              <w:t>residence visa</w:t>
            </w:r>
            <w:r w:rsidR="00DD7739" w:rsidRPr="008E781C">
              <w:rPr>
                <w:rFonts w:ascii="Century Gothic" w:hAnsi="Century Gothic"/>
                <w:bCs/>
                <w:sz w:val="18"/>
                <w:szCs w:val="18"/>
              </w:rPr>
              <w:t xml:space="preserve">, the criteria (including </w:t>
            </w:r>
            <w:r w:rsidR="00C86FCB" w:rsidRPr="008E781C">
              <w:rPr>
                <w:rFonts w:ascii="Century Gothic" w:hAnsi="Century Gothic"/>
                <w:bCs/>
                <w:sz w:val="18"/>
                <w:szCs w:val="18"/>
              </w:rPr>
              <w:t>the accommodation criterion</w:t>
            </w:r>
            <w:r w:rsidR="00DD7739" w:rsidRPr="008E781C">
              <w:rPr>
                <w:rFonts w:ascii="Century Gothic" w:hAnsi="Century Gothic"/>
                <w:bCs/>
                <w:sz w:val="18"/>
                <w:szCs w:val="18"/>
              </w:rPr>
              <w:t>) must continue to be fulfilled.</w:t>
            </w:r>
            <w:r w:rsidR="00DD7739" w:rsidRPr="008E781C">
              <w:rPr>
                <w:rStyle w:val="FootnoteReference"/>
                <w:rFonts w:ascii="Century Gothic" w:hAnsi="Century Gothic"/>
                <w:bCs/>
                <w:sz w:val="18"/>
                <w:szCs w:val="18"/>
              </w:rPr>
              <w:footnoteReference w:id="196"/>
            </w:r>
            <w:r w:rsidR="00DD7739" w:rsidRPr="008E781C">
              <w:rPr>
                <w:rFonts w:ascii="Century Gothic" w:hAnsi="Century Gothic"/>
                <w:bCs/>
                <w:sz w:val="18"/>
                <w:szCs w:val="18"/>
              </w:rPr>
              <w:t xml:space="preserve"> Any </w:t>
            </w:r>
            <w:r w:rsidR="00DD7739" w:rsidRPr="008E781C">
              <w:rPr>
                <w:rFonts w:ascii="Century Gothic" w:hAnsi="Century Gothic"/>
                <w:b/>
                <w:bCs/>
                <w:sz w:val="18"/>
                <w:szCs w:val="18"/>
              </w:rPr>
              <w:t>changes</w:t>
            </w:r>
            <w:r w:rsidR="00DD7739" w:rsidRPr="008E781C">
              <w:rPr>
                <w:rFonts w:ascii="Century Gothic" w:hAnsi="Century Gothic"/>
                <w:bCs/>
                <w:sz w:val="18"/>
                <w:szCs w:val="18"/>
              </w:rPr>
              <w:t xml:space="preserve"> must be notified to the </w:t>
            </w:r>
            <w:r w:rsidR="0021570E" w:rsidRPr="008E781C">
              <w:rPr>
                <w:rFonts w:ascii="Century Gothic" w:hAnsi="Century Gothic"/>
                <w:bCs/>
                <w:sz w:val="18"/>
                <w:szCs w:val="18"/>
              </w:rPr>
              <w:t>DGM</w:t>
            </w:r>
            <w:r w:rsidR="00DD7739" w:rsidRPr="008E781C">
              <w:rPr>
                <w:rFonts w:ascii="Century Gothic" w:hAnsi="Century Gothic"/>
                <w:bCs/>
                <w:sz w:val="18"/>
                <w:szCs w:val="18"/>
              </w:rPr>
              <w:t xml:space="preserve"> within 30 days from the change.</w:t>
            </w:r>
            <w:r w:rsidR="00DD7739" w:rsidRPr="008E781C">
              <w:rPr>
                <w:rStyle w:val="FootnoteReference"/>
                <w:rFonts w:ascii="Century Gothic" w:hAnsi="Century Gothic"/>
                <w:bCs/>
                <w:sz w:val="18"/>
                <w:szCs w:val="18"/>
              </w:rPr>
              <w:footnoteReference w:id="197"/>
            </w:r>
            <w:r w:rsidR="00DD7739" w:rsidRPr="008E781C">
              <w:rPr>
                <w:rFonts w:ascii="Century Gothic" w:hAnsi="Century Gothic"/>
                <w:bCs/>
                <w:sz w:val="18"/>
                <w:szCs w:val="18"/>
              </w:rPr>
              <w:t xml:space="preserve"> The </w:t>
            </w:r>
            <w:r w:rsidR="0021570E" w:rsidRPr="008E781C">
              <w:rPr>
                <w:rFonts w:ascii="Century Gothic" w:hAnsi="Century Gothic"/>
                <w:bCs/>
                <w:sz w:val="18"/>
                <w:szCs w:val="18"/>
              </w:rPr>
              <w:t>competent authorities</w:t>
            </w:r>
            <w:r w:rsidR="00DD7739" w:rsidRPr="008E781C">
              <w:rPr>
                <w:rFonts w:ascii="Century Gothic" w:hAnsi="Century Gothic"/>
                <w:bCs/>
                <w:sz w:val="18"/>
                <w:szCs w:val="18"/>
              </w:rPr>
              <w:t xml:space="preserve"> may implement the necessary measures to monitor that such conditions continue to be met</w:t>
            </w:r>
            <w:r w:rsidR="00DD7739" w:rsidRPr="008E781C">
              <w:rPr>
                <w:rStyle w:val="FootnoteReference"/>
                <w:rFonts w:ascii="Century Gothic" w:hAnsi="Century Gothic"/>
                <w:bCs/>
                <w:sz w:val="18"/>
                <w:szCs w:val="18"/>
              </w:rPr>
              <w:footnoteReference w:id="198"/>
            </w:r>
            <w:r w:rsidR="00DD7739" w:rsidRPr="008E781C">
              <w:rPr>
                <w:rFonts w:ascii="Century Gothic" w:hAnsi="Century Gothic"/>
                <w:bCs/>
                <w:sz w:val="18"/>
                <w:szCs w:val="18"/>
              </w:rPr>
              <w:t xml:space="preserve"> (e.g. in cooperation with police officers the DGM may check whether the place of residence indicated in the application continues to be the same by visiting the address). If as a result of such control the DGM concludes that the conditions have ceased to </w:t>
            </w:r>
            <w:r w:rsidR="00C86FCB" w:rsidRPr="008E781C">
              <w:rPr>
                <w:rFonts w:ascii="Century Gothic" w:hAnsi="Century Gothic"/>
                <w:bCs/>
                <w:sz w:val="18"/>
                <w:szCs w:val="18"/>
              </w:rPr>
              <w:t>exist</w:t>
            </w:r>
            <w:r w:rsidR="00DD7739" w:rsidRPr="008E781C">
              <w:rPr>
                <w:rFonts w:ascii="Century Gothic" w:hAnsi="Century Gothic"/>
                <w:bCs/>
                <w:sz w:val="18"/>
                <w:szCs w:val="18"/>
              </w:rPr>
              <w:t xml:space="preserve">, it can, in a reasoned way, </w:t>
            </w:r>
            <w:r w:rsidR="00BF7479" w:rsidRPr="008E781C">
              <w:rPr>
                <w:rFonts w:ascii="Century Gothic" w:hAnsi="Century Gothic"/>
                <w:b/>
                <w:bCs/>
                <w:sz w:val="18"/>
                <w:szCs w:val="18"/>
              </w:rPr>
              <w:t>withdraw</w:t>
            </w:r>
            <w:r w:rsidR="00DD7739" w:rsidRPr="008E781C">
              <w:rPr>
                <w:rFonts w:ascii="Century Gothic" w:hAnsi="Century Gothic"/>
                <w:bCs/>
                <w:sz w:val="18"/>
                <w:szCs w:val="18"/>
              </w:rPr>
              <w:t xml:space="preserve"> the residence visa, after hearing the affected parties.</w:t>
            </w:r>
            <w:r w:rsidR="00DD7739" w:rsidRPr="008E781C">
              <w:rPr>
                <w:rStyle w:val="FootnoteReference"/>
                <w:rFonts w:ascii="Century Gothic" w:hAnsi="Century Gothic"/>
                <w:bCs/>
                <w:sz w:val="18"/>
                <w:szCs w:val="18"/>
              </w:rPr>
              <w:footnoteReference w:id="199"/>
            </w:r>
          </w:p>
          <w:p w14:paraId="639847E1" w14:textId="77777777" w:rsidR="004C70FE" w:rsidRPr="008E781C" w:rsidRDefault="004C70FE" w:rsidP="001F39E0">
            <w:pPr>
              <w:jc w:val="both"/>
              <w:rPr>
                <w:rFonts w:ascii="Century Gothic" w:hAnsi="Century Gothic"/>
                <w:bCs/>
                <w:sz w:val="18"/>
                <w:szCs w:val="18"/>
              </w:rPr>
            </w:pPr>
          </w:p>
          <w:p w14:paraId="00660C11" w14:textId="4E750EC0" w:rsidR="004E6663" w:rsidRPr="008E781C" w:rsidRDefault="004E6663" w:rsidP="001F39E0">
            <w:pPr>
              <w:jc w:val="both"/>
              <w:rPr>
                <w:rFonts w:ascii="Century Gothic" w:hAnsi="Century Gothic"/>
                <w:bCs/>
                <w:sz w:val="18"/>
                <w:szCs w:val="18"/>
              </w:rPr>
            </w:pPr>
            <w:r w:rsidRPr="008E781C">
              <w:rPr>
                <w:rFonts w:ascii="Century Gothic" w:hAnsi="Century Gothic"/>
                <w:bCs/>
                <w:sz w:val="18"/>
                <w:szCs w:val="18"/>
              </w:rPr>
              <w:t>The legislation does not provide a list of the documentation to prove that an accommodation has been secured. This can be any mean</w:t>
            </w:r>
            <w:r w:rsidR="00593496" w:rsidRPr="008E781C">
              <w:rPr>
                <w:rFonts w:ascii="Century Gothic" w:hAnsi="Century Gothic"/>
                <w:bCs/>
                <w:sz w:val="18"/>
                <w:szCs w:val="18"/>
              </w:rPr>
              <w:t>s</w:t>
            </w:r>
            <w:r w:rsidRPr="008E781C">
              <w:rPr>
                <w:rFonts w:ascii="Century Gothic" w:hAnsi="Century Gothic"/>
                <w:bCs/>
                <w:sz w:val="18"/>
                <w:szCs w:val="18"/>
              </w:rPr>
              <w:t xml:space="preserve"> offered by the law (e.g. rental contract, domiciled bank account).</w:t>
            </w:r>
            <w:r w:rsidRPr="008E781C">
              <w:rPr>
                <w:rStyle w:val="FootnoteReference"/>
                <w:rFonts w:ascii="Century Gothic" w:hAnsi="Century Gothic"/>
                <w:bCs/>
                <w:sz w:val="18"/>
                <w:szCs w:val="18"/>
              </w:rPr>
              <w:footnoteReference w:id="200"/>
            </w:r>
          </w:p>
        </w:tc>
        <w:tc>
          <w:tcPr>
            <w:tcW w:w="865" w:type="pct"/>
            <w:shd w:val="clear" w:color="auto" w:fill="D9D9D9" w:themeFill="background1" w:themeFillShade="D9"/>
          </w:tcPr>
          <w:p w14:paraId="34652259" w14:textId="75BAF84A" w:rsidR="00C86FCB" w:rsidRPr="008E781C" w:rsidRDefault="0021570E" w:rsidP="001F39E0">
            <w:pPr>
              <w:jc w:val="both"/>
              <w:rPr>
                <w:rFonts w:ascii="Century Gothic" w:hAnsi="Century Gothic"/>
                <w:bCs/>
                <w:sz w:val="18"/>
                <w:szCs w:val="18"/>
              </w:rPr>
            </w:pPr>
            <w:r w:rsidRPr="008E781C">
              <w:rPr>
                <w:rFonts w:ascii="Century Gothic" w:hAnsi="Century Gothic"/>
                <w:bCs/>
                <w:sz w:val="18"/>
                <w:szCs w:val="18"/>
              </w:rPr>
              <w:lastRenderedPageBreak/>
              <w:t xml:space="preserve">The </w:t>
            </w:r>
            <w:r w:rsidR="00C86FCB" w:rsidRPr="008E781C">
              <w:rPr>
                <w:rFonts w:ascii="Century Gothic" w:hAnsi="Century Gothic"/>
                <w:b/>
                <w:bCs/>
                <w:sz w:val="18"/>
                <w:szCs w:val="18"/>
              </w:rPr>
              <w:t>consulates or diplomatic missions</w:t>
            </w:r>
            <w:r w:rsidR="00C86FCB" w:rsidRPr="008E781C" w:rsidDel="00C86FCB">
              <w:rPr>
                <w:rFonts w:ascii="Century Gothic" w:hAnsi="Century Gothic"/>
                <w:b/>
                <w:bCs/>
                <w:sz w:val="18"/>
                <w:szCs w:val="18"/>
              </w:rPr>
              <w:t xml:space="preserve"> </w:t>
            </w:r>
            <w:r w:rsidRPr="008E781C">
              <w:rPr>
                <w:rFonts w:ascii="Century Gothic" w:hAnsi="Century Gothic"/>
                <w:b/>
                <w:bCs/>
                <w:sz w:val="18"/>
                <w:szCs w:val="18"/>
              </w:rPr>
              <w:t>receive and examine the application</w:t>
            </w:r>
            <w:r w:rsidRPr="008E781C">
              <w:rPr>
                <w:rFonts w:ascii="Century Gothic" w:hAnsi="Century Gothic"/>
                <w:bCs/>
                <w:sz w:val="18"/>
                <w:szCs w:val="18"/>
              </w:rPr>
              <w:t xml:space="preserve"> for an investors’ residence visa.</w:t>
            </w:r>
            <w:r w:rsidRPr="008E781C">
              <w:rPr>
                <w:rStyle w:val="FootnoteReference"/>
                <w:rFonts w:ascii="Century Gothic" w:hAnsi="Century Gothic"/>
                <w:bCs/>
                <w:sz w:val="18"/>
                <w:szCs w:val="18"/>
              </w:rPr>
              <w:footnoteReference w:id="201"/>
            </w:r>
            <w:r w:rsidRPr="008E781C">
              <w:rPr>
                <w:rFonts w:ascii="Century Gothic" w:hAnsi="Century Gothic"/>
                <w:bCs/>
                <w:sz w:val="18"/>
                <w:szCs w:val="18"/>
              </w:rPr>
              <w:t xml:space="preserve"> In doing so, </w:t>
            </w:r>
            <w:r w:rsidR="00C86FCB" w:rsidRPr="008E781C">
              <w:rPr>
                <w:rFonts w:ascii="Century Gothic" w:hAnsi="Century Gothic"/>
                <w:bCs/>
                <w:sz w:val="18"/>
                <w:szCs w:val="18"/>
              </w:rPr>
              <w:t>they</w:t>
            </w:r>
            <w:r w:rsidRPr="008E781C">
              <w:rPr>
                <w:rFonts w:ascii="Century Gothic" w:hAnsi="Century Gothic"/>
                <w:bCs/>
                <w:sz w:val="18"/>
                <w:szCs w:val="18"/>
              </w:rPr>
              <w:t xml:space="preserve"> review </w:t>
            </w:r>
            <w:r w:rsidR="00C86FCB" w:rsidRPr="008E781C">
              <w:rPr>
                <w:rFonts w:ascii="Century Gothic" w:hAnsi="Century Gothic"/>
                <w:bCs/>
                <w:sz w:val="18"/>
                <w:szCs w:val="18"/>
              </w:rPr>
              <w:t xml:space="preserve">whether </w:t>
            </w:r>
            <w:r w:rsidRPr="008E781C">
              <w:rPr>
                <w:rFonts w:ascii="Century Gothic" w:hAnsi="Century Gothic"/>
                <w:bCs/>
                <w:sz w:val="18"/>
                <w:szCs w:val="18"/>
              </w:rPr>
              <w:t xml:space="preserve">all legal requirements to issue the visa </w:t>
            </w:r>
            <w:r w:rsidR="00C86FCB" w:rsidRPr="008E781C">
              <w:rPr>
                <w:rFonts w:ascii="Century Gothic" w:hAnsi="Century Gothic"/>
                <w:bCs/>
                <w:sz w:val="18"/>
                <w:szCs w:val="18"/>
              </w:rPr>
              <w:t xml:space="preserve">are met </w:t>
            </w:r>
            <w:r w:rsidRPr="008E781C">
              <w:rPr>
                <w:rFonts w:ascii="Century Gothic" w:hAnsi="Century Gothic"/>
                <w:bCs/>
                <w:sz w:val="18"/>
                <w:szCs w:val="18"/>
              </w:rPr>
              <w:t xml:space="preserve">including, inter alia, the requirement to prove that an accommodation has been secured (or that sufficient economic means are owned to procure one). </w:t>
            </w:r>
            <w:r w:rsidR="00026FAB" w:rsidRPr="008E781C">
              <w:rPr>
                <w:rFonts w:ascii="Century Gothic" w:hAnsi="Century Gothic"/>
                <w:bCs/>
                <w:sz w:val="18"/>
                <w:szCs w:val="18"/>
              </w:rPr>
              <w:t xml:space="preserve">For such purposes, the competent authority may </w:t>
            </w:r>
            <w:r w:rsidR="00026FAB" w:rsidRPr="008E781C">
              <w:rPr>
                <w:rFonts w:ascii="Century Gothic" w:hAnsi="Century Gothic"/>
                <w:b/>
                <w:bCs/>
                <w:sz w:val="18"/>
                <w:szCs w:val="18"/>
              </w:rPr>
              <w:t>consult the central authorities</w:t>
            </w:r>
            <w:r w:rsidR="00026FAB" w:rsidRPr="008E781C">
              <w:rPr>
                <w:rFonts w:ascii="Century Gothic" w:hAnsi="Century Gothic"/>
                <w:bCs/>
                <w:sz w:val="18"/>
                <w:szCs w:val="18"/>
              </w:rPr>
              <w:t>,</w:t>
            </w:r>
            <w:r w:rsidR="00026FAB" w:rsidRPr="008E781C">
              <w:rPr>
                <w:rStyle w:val="FootnoteReference"/>
                <w:rFonts w:ascii="Century Gothic" w:hAnsi="Century Gothic"/>
                <w:bCs/>
                <w:sz w:val="18"/>
                <w:szCs w:val="18"/>
              </w:rPr>
              <w:footnoteReference w:id="202"/>
            </w:r>
            <w:r w:rsidR="00026FAB" w:rsidRPr="008E781C">
              <w:rPr>
                <w:rFonts w:ascii="Century Gothic" w:hAnsi="Century Gothic"/>
                <w:bCs/>
                <w:sz w:val="18"/>
                <w:szCs w:val="18"/>
              </w:rPr>
              <w:t xml:space="preserve"> (e.g. the police authorities or migration regional office of the place where the investor </w:t>
            </w:r>
            <w:r w:rsidR="00026FAB" w:rsidRPr="008E781C">
              <w:rPr>
                <w:rFonts w:ascii="Century Gothic" w:hAnsi="Century Gothic"/>
                <w:bCs/>
                <w:sz w:val="18"/>
                <w:szCs w:val="18"/>
              </w:rPr>
              <w:lastRenderedPageBreak/>
              <w:t>intends to establish his/her residence).</w:t>
            </w:r>
            <w:r w:rsidR="004D7898" w:rsidRPr="008E781C">
              <w:rPr>
                <w:rStyle w:val="FootnoteReference"/>
                <w:rFonts w:ascii="Century Gothic" w:hAnsi="Century Gothic"/>
                <w:bCs/>
                <w:sz w:val="18"/>
                <w:szCs w:val="18"/>
              </w:rPr>
              <w:footnoteReference w:id="203"/>
            </w:r>
          </w:p>
          <w:p w14:paraId="5ABCBF7A" w14:textId="160AA1DC" w:rsidR="00026FAB" w:rsidRPr="008E781C" w:rsidRDefault="00026FAB" w:rsidP="001F39E0">
            <w:pPr>
              <w:jc w:val="both"/>
              <w:rPr>
                <w:rFonts w:ascii="Century Gothic" w:hAnsi="Century Gothic"/>
                <w:bCs/>
                <w:sz w:val="18"/>
                <w:szCs w:val="18"/>
              </w:rPr>
            </w:pPr>
          </w:p>
          <w:p w14:paraId="65E9A89D" w14:textId="2CA86350" w:rsidR="00B311A7" w:rsidRPr="008E781C" w:rsidRDefault="00026FAB" w:rsidP="001F39E0">
            <w:pPr>
              <w:jc w:val="both"/>
              <w:rPr>
                <w:rFonts w:ascii="Century Gothic" w:hAnsi="Century Gothic"/>
                <w:bCs/>
                <w:sz w:val="18"/>
                <w:szCs w:val="18"/>
              </w:rPr>
            </w:pPr>
            <w:r w:rsidRPr="008E781C">
              <w:rPr>
                <w:rFonts w:ascii="Century Gothic" w:hAnsi="Century Gothic"/>
                <w:bCs/>
                <w:sz w:val="18"/>
                <w:szCs w:val="18"/>
              </w:rPr>
              <w:t xml:space="preserve">Once the </w:t>
            </w:r>
            <w:r w:rsidRPr="008E781C">
              <w:rPr>
                <w:rFonts w:ascii="Century Gothic" w:hAnsi="Century Gothic"/>
                <w:b/>
                <w:bCs/>
                <w:sz w:val="18"/>
                <w:szCs w:val="18"/>
              </w:rPr>
              <w:t>visa</w:t>
            </w:r>
            <w:r w:rsidRPr="008E781C">
              <w:rPr>
                <w:rFonts w:ascii="Century Gothic" w:hAnsi="Century Gothic"/>
                <w:bCs/>
                <w:sz w:val="18"/>
                <w:szCs w:val="18"/>
              </w:rPr>
              <w:t xml:space="preserve"> </w:t>
            </w:r>
            <w:r w:rsidR="00C86FCB" w:rsidRPr="008E781C">
              <w:rPr>
                <w:rFonts w:ascii="Century Gothic" w:hAnsi="Century Gothic"/>
                <w:bCs/>
                <w:sz w:val="18"/>
                <w:szCs w:val="18"/>
              </w:rPr>
              <w:t>is</w:t>
            </w:r>
            <w:r w:rsidRPr="008E781C">
              <w:rPr>
                <w:rFonts w:ascii="Century Gothic" w:hAnsi="Century Gothic"/>
                <w:bCs/>
                <w:sz w:val="18"/>
                <w:szCs w:val="18"/>
              </w:rPr>
              <w:t xml:space="preserve"> </w:t>
            </w:r>
            <w:r w:rsidRPr="008E781C">
              <w:rPr>
                <w:rFonts w:ascii="Century Gothic" w:hAnsi="Century Gothic"/>
                <w:b/>
                <w:bCs/>
                <w:sz w:val="18"/>
                <w:szCs w:val="18"/>
              </w:rPr>
              <w:t>granted</w:t>
            </w:r>
            <w:r w:rsidRPr="008E781C">
              <w:rPr>
                <w:rFonts w:ascii="Century Gothic" w:hAnsi="Century Gothic"/>
                <w:bCs/>
                <w:sz w:val="18"/>
                <w:szCs w:val="18"/>
              </w:rPr>
              <w:t xml:space="preserve"> and issued, the </w:t>
            </w:r>
            <w:r w:rsidRPr="008E781C">
              <w:rPr>
                <w:rFonts w:ascii="Century Gothic" w:hAnsi="Century Gothic"/>
                <w:b/>
                <w:bCs/>
                <w:sz w:val="18"/>
                <w:szCs w:val="18"/>
              </w:rPr>
              <w:t xml:space="preserve">competent authority to verify and monitor that the conditions that justified </w:t>
            </w:r>
            <w:r w:rsidR="00C86FCB" w:rsidRPr="008E781C">
              <w:rPr>
                <w:rFonts w:ascii="Century Gothic" w:hAnsi="Century Gothic"/>
                <w:b/>
                <w:bCs/>
                <w:sz w:val="18"/>
                <w:szCs w:val="18"/>
              </w:rPr>
              <w:t xml:space="preserve">its issuance </w:t>
            </w:r>
            <w:r w:rsidRPr="008E781C">
              <w:rPr>
                <w:rFonts w:ascii="Century Gothic" w:hAnsi="Century Gothic"/>
                <w:b/>
                <w:bCs/>
                <w:sz w:val="18"/>
                <w:szCs w:val="18"/>
              </w:rPr>
              <w:t xml:space="preserve">continue to </w:t>
            </w:r>
            <w:r w:rsidR="00C86FCB" w:rsidRPr="008E781C">
              <w:rPr>
                <w:rFonts w:ascii="Century Gothic" w:hAnsi="Century Gothic"/>
                <w:b/>
                <w:bCs/>
                <w:sz w:val="18"/>
                <w:szCs w:val="18"/>
              </w:rPr>
              <w:t>exist</w:t>
            </w:r>
            <w:r w:rsidR="00C86FCB" w:rsidRPr="008E781C">
              <w:rPr>
                <w:rFonts w:ascii="Century Gothic" w:hAnsi="Century Gothic"/>
                <w:bCs/>
                <w:sz w:val="18"/>
                <w:szCs w:val="18"/>
              </w:rPr>
              <w:t xml:space="preserve"> </w:t>
            </w:r>
            <w:r w:rsidRPr="008E781C">
              <w:rPr>
                <w:rFonts w:ascii="Century Gothic" w:hAnsi="Century Gothic"/>
                <w:bCs/>
                <w:sz w:val="18"/>
                <w:szCs w:val="18"/>
              </w:rPr>
              <w:t xml:space="preserve">is the </w:t>
            </w:r>
            <w:r w:rsidRPr="008E781C">
              <w:rPr>
                <w:rFonts w:ascii="Century Gothic" w:hAnsi="Century Gothic"/>
                <w:b/>
                <w:bCs/>
                <w:sz w:val="18"/>
                <w:szCs w:val="18"/>
              </w:rPr>
              <w:t>DGM</w:t>
            </w:r>
            <w:r w:rsidRPr="008E781C">
              <w:rPr>
                <w:rFonts w:ascii="Century Gothic" w:hAnsi="Century Gothic"/>
                <w:bCs/>
                <w:sz w:val="18"/>
                <w:szCs w:val="18"/>
              </w:rPr>
              <w:t xml:space="preserve"> as the investor is already in the Spanish territory and the competent authority therein to monitor migration is the DGM.</w:t>
            </w:r>
            <w:r w:rsidRPr="008E781C">
              <w:rPr>
                <w:rStyle w:val="FootnoteReference"/>
                <w:rFonts w:ascii="Century Gothic" w:hAnsi="Century Gothic"/>
                <w:bCs/>
                <w:sz w:val="18"/>
                <w:szCs w:val="18"/>
              </w:rPr>
              <w:footnoteReference w:id="204"/>
            </w:r>
          </w:p>
        </w:tc>
        <w:tc>
          <w:tcPr>
            <w:tcW w:w="1902" w:type="pct"/>
            <w:shd w:val="clear" w:color="auto" w:fill="D9D9D9" w:themeFill="background1" w:themeFillShade="D9"/>
          </w:tcPr>
          <w:p w14:paraId="1B43FA38" w14:textId="4C778CA9" w:rsidR="004D3663" w:rsidRPr="008E781C" w:rsidRDefault="004D3663" w:rsidP="001F39E0">
            <w:pPr>
              <w:jc w:val="both"/>
              <w:rPr>
                <w:rFonts w:ascii="Century Gothic" w:hAnsi="Century Gothic"/>
                <w:bCs/>
                <w:sz w:val="18"/>
                <w:szCs w:val="18"/>
              </w:rPr>
            </w:pPr>
            <w:r w:rsidRPr="008E781C">
              <w:rPr>
                <w:rFonts w:ascii="Century Gothic" w:hAnsi="Century Gothic"/>
                <w:bCs/>
                <w:sz w:val="18"/>
                <w:szCs w:val="18"/>
              </w:rPr>
              <w:lastRenderedPageBreak/>
              <w:t xml:space="preserve">Law 14/2013 provides that </w:t>
            </w:r>
            <w:r w:rsidRPr="008E781C">
              <w:rPr>
                <w:rFonts w:ascii="Century Gothic" w:hAnsi="Century Gothic"/>
                <w:b/>
                <w:bCs/>
                <w:sz w:val="18"/>
                <w:szCs w:val="18"/>
              </w:rPr>
              <w:t>Regulation 810/2009</w:t>
            </w:r>
            <w:r w:rsidRPr="008E781C">
              <w:rPr>
                <w:rFonts w:ascii="Century Gothic" w:hAnsi="Century Gothic"/>
                <w:bCs/>
                <w:sz w:val="18"/>
                <w:szCs w:val="18"/>
              </w:rPr>
              <w:t xml:space="preserve"> applies to the procedure to </w:t>
            </w:r>
            <w:r w:rsidR="00BA0AFE" w:rsidRPr="008E781C">
              <w:rPr>
                <w:rFonts w:ascii="Century Gothic" w:hAnsi="Century Gothic"/>
                <w:bCs/>
                <w:sz w:val="18"/>
                <w:szCs w:val="18"/>
              </w:rPr>
              <w:t>process investors’ residence visas.</w:t>
            </w:r>
            <w:r w:rsidR="00BA0AFE" w:rsidRPr="008E781C">
              <w:rPr>
                <w:rStyle w:val="FootnoteReference"/>
                <w:rFonts w:ascii="Century Gothic" w:hAnsi="Century Gothic"/>
                <w:bCs/>
                <w:sz w:val="18"/>
                <w:szCs w:val="18"/>
              </w:rPr>
              <w:footnoteReference w:id="205"/>
            </w:r>
            <w:r w:rsidR="00BA0AFE" w:rsidRPr="008E781C">
              <w:rPr>
                <w:rFonts w:ascii="Century Gothic" w:hAnsi="Century Gothic"/>
                <w:bCs/>
                <w:sz w:val="18"/>
                <w:szCs w:val="18"/>
              </w:rPr>
              <w:t xml:space="preserve"> Such Regulation only </w:t>
            </w:r>
            <w:r w:rsidR="00C86FCB" w:rsidRPr="008E781C">
              <w:rPr>
                <w:rFonts w:ascii="Century Gothic" w:hAnsi="Century Gothic"/>
                <w:bCs/>
                <w:sz w:val="18"/>
                <w:szCs w:val="18"/>
              </w:rPr>
              <w:t xml:space="preserve">provides for </w:t>
            </w:r>
            <w:r w:rsidR="00BA0AFE" w:rsidRPr="008E781C">
              <w:rPr>
                <w:rFonts w:ascii="Century Gothic" w:hAnsi="Century Gothic"/>
                <w:bCs/>
                <w:sz w:val="18"/>
                <w:szCs w:val="18"/>
              </w:rPr>
              <w:t xml:space="preserve">the </w:t>
            </w:r>
            <w:r w:rsidR="00BA0AFE" w:rsidRPr="008E781C">
              <w:rPr>
                <w:rFonts w:ascii="Century Gothic" w:hAnsi="Century Gothic"/>
                <w:b/>
                <w:bCs/>
                <w:sz w:val="18"/>
                <w:szCs w:val="18"/>
              </w:rPr>
              <w:t>extension in extraordinary cases</w:t>
            </w:r>
            <w:r w:rsidR="00BA0AFE" w:rsidRPr="008E781C">
              <w:rPr>
                <w:rFonts w:ascii="Century Gothic" w:hAnsi="Century Gothic"/>
                <w:bCs/>
                <w:sz w:val="18"/>
                <w:szCs w:val="18"/>
              </w:rPr>
              <w:t>.</w:t>
            </w:r>
            <w:r w:rsidR="00BA0AFE" w:rsidRPr="008E781C">
              <w:rPr>
                <w:rStyle w:val="FootnoteReference"/>
                <w:rFonts w:ascii="Century Gothic" w:hAnsi="Century Gothic"/>
                <w:bCs/>
                <w:sz w:val="18"/>
                <w:szCs w:val="18"/>
              </w:rPr>
              <w:footnoteReference w:id="206"/>
            </w:r>
          </w:p>
          <w:p w14:paraId="288D3AB8" w14:textId="2AF63C3B" w:rsidR="00BA0AFE" w:rsidRPr="008E781C" w:rsidRDefault="00BA0AFE" w:rsidP="001F39E0">
            <w:pPr>
              <w:jc w:val="both"/>
              <w:rPr>
                <w:rFonts w:ascii="Century Gothic" w:hAnsi="Century Gothic"/>
                <w:bCs/>
                <w:sz w:val="18"/>
                <w:szCs w:val="18"/>
              </w:rPr>
            </w:pPr>
          </w:p>
          <w:p w14:paraId="43717149" w14:textId="31DA2FBA" w:rsidR="00BA0AFE" w:rsidRPr="008E781C" w:rsidRDefault="00BA0AFE" w:rsidP="001F39E0">
            <w:pPr>
              <w:jc w:val="both"/>
              <w:rPr>
                <w:rFonts w:ascii="Century Gothic" w:hAnsi="Century Gothic"/>
                <w:bCs/>
                <w:sz w:val="18"/>
                <w:szCs w:val="18"/>
              </w:rPr>
            </w:pPr>
            <w:r w:rsidRPr="008E781C">
              <w:rPr>
                <w:rFonts w:ascii="Century Gothic" w:hAnsi="Century Gothic"/>
                <w:bCs/>
                <w:sz w:val="18"/>
                <w:szCs w:val="18"/>
              </w:rPr>
              <w:t xml:space="preserve">Therefore, the </w:t>
            </w:r>
            <w:r w:rsidRPr="008E781C">
              <w:rPr>
                <w:rFonts w:ascii="Century Gothic" w:hAnsi="Century Gothic"/>
                <w:b/>
                <w:bCs/>
                <w:sz w:val="18"/>
                <w:szCs w:val="18"/>
              </w:rPr>
              <w:t>logical way to extend the investor’s residence</w:t>
            </w:r>
            <w:r w:rsidRPr="008E781C">
              <w:rPr>
                <w:rFonts w:ascii="Century Gothic" w:hAnsi="Century Gothic"/>
                <w:bCs/>
                <w:sz w:val="18"/>
                <w:szCs w:val="18"/>
              </w:rPr>
              <w:t xml:space="preserve"> in Spain, while the visa is still in force or after it has expired, will be by </w:t>
            </w:r>
            <w:r w:rsidRPr="008E781C">
              <w:rPr>
                <w:rFonts w:ascii="Century Gothic" w:hAnsi="Century Gothic"/>
                <w:b/>
                <w:bCs/>
                <w:sz w:val="18"/>
                <w:szCs w:val="18"/>
              </w:rPr>
              <w:t>applying for an investors’ residence authorisation</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07"/>
            </w:r>
          </w:p>
          <w:p w14:paraId="60A07E6C" w14:textId="557F97A8" w:rsidR="00A80D3C" w:rsidRPr="008E781C" w:rsidRDefault="00A80D3C">
            <w:pPr>
              <w:jc w:val="both"/>
              <w:rPr>
                <w:rFonts w:ascii="Century Gothic" w:hAnsi="Century Gothic"/>
                <w:bCs/>
                <w:sz w:val="18"/>
                <w:szCs w:val="18"/>
              </w:rPr>
            </w:pPr>
          </w:p>
          <w:p w14:paraId="240E7A24" w14:textId="5B9FBA39" w:rsidR="00A80D3C" w:rsidRPr="008E781C" w:rsidRDefault="00A80D3C" w:rsidP="001F39E0">
            <w:pPr>
              <w:jc w:val="both"/>
              <w:rPr>
                <w:rFonts w:ascii="Century Gothic" w:hAnsi="Century Gothic"/>
                <w:bCs/>
                <w:sz w:val="18"/>
                <w:szCs w:val="18"/>
              </w:rPr>
            </w:pPr>
          </w:p>
          <w:p w14:paraId="4A895E23" w14:textId="77777777" w:rsidR="004D3663" w:rsidRPr="008E781C" w:rsidRDefault="004D3663" w:rsidP="001F39E0">
            <w:pPr>
              <w:jc w:val="both"/>
              <w:rPr>
                <w:rFonts w:ascii="Century Gothic" w:hAnsi="Century Gothic"/>
                <w:bCs/>
                <w:sz w:val="18"/>
                <w:szCs w:val="18"/>
              </w:rPr>
            </w:pPr>
          </w:p>
          <w:p w14:paraId="3C58AB77" w14:textId="2443B49D" w:rsidR="004C70FE" w:rsidRPr="008E781C" w:rsidRDefault="004C70FE" w:rsidP="001F39E0">
            <w:pPr>
              <w:jc w:val="both"/>
              <w:rPr>
                <w:rFonts w:ascii="Century Gothic" w:hAnsi="Century Gothic"/>
                <w:bCs/>
                <w:sz w:val="18"/>
                <w:szCs w:val="18"/>
              </w:rPr>
            </w:pPr>
          </w:p>
        </w:tc>
      </w:tr>
      <w:tr w:rsidR="00BB6838" w:rsidRPr="008E781C" w14:paraId="5614142E" w14:textId="77777777" w:rsidTr="00E25ACA">
        <w:tc>
          <w:tcPr>
            <w:tcW w:w="483" w:type="pct"/>
            <w:shd w:val="clear" w:color="auto" w:fill="D9D9D9" w:themeFill="background1" w:themeFillShade="D9"/>
          </w:tcPr>
          <w:p w14:paraId="0C3467D5" w14:textId="208C50C1" w:rsidR="00446E8A" w:rsidRPr="008E781C" w:rsidRDefault="00C86FCB" w:rsidP="001F39E0">
            <w:pPr>
              <w:jc w:val="both"/>
              <w:rPr>
                <w:rFonts w:ascii="Century Gothic" w:hAnsi="Century Gothic"/>
                <w:b/>
                <w:bCs/>
                <w:sz w:val="18"/>
                <w:szCs w:val="18"/>
              </w:rPr>
            </w:pPr>
            <w:r w:rsidRPr="008E781C">
              <w:rPr>
                <w:rFonts w:ascii="Century Gothic" w:hAnsi="Century Gothic"/>
                <w:bCs/>
                <w:sz w:val="18"/>
                <w:szCs w:val="18"/>
              </w:rPr>
              <w:t xml:space="preserve">The </w:t>
            </w:r>
            <w:r w:rsidR="00446E8A" w:rsidRPr="008E781C">
              <w:rPr>
                <w:rFonts w:ascii="Century Gothic" w:hAnsi="Century Gothic"/>
                <w:b/>
                <w:bCs/>
                <w:sz w:val="18"/>
                <w:szCs w:val="18"/>
              </w:rPr>
              <w:t xml:space="preserve">Investors’ </w:t>
            </w:r>
            <w:r w:rsidR="00446E8A" w:rsidRPr="008E781C">
              <w:rPr>
                <w:rFonts w:ascii="Century Gothic" w:hAnsi="Century Gothic"/>
                <w:b/>
                <w:bCs/>
                <w:sz w:val="18"/>
                <w:szCs w:val="18"/>
              </w:rPr>
              <w:lastRenderedPageBreak/>
              <w:t>residence authorisation</w:t>
            </w:r>
          </w:p>
          <w:p w14:paraId="3D135AC7" w14:textId="2587E86C" w:rsidR="00446E8A" w:rsidRPr="008E781C" w:rsidRDefault="00446E8A" w:rsidP="001F39E0">
            <w:pPr>
              <w:jc w:val="both"/>
              <w:rPr>
                <w:rFonts w:ascii="Century Gothic" w:hAnsi="Century Gothic"/>
                <w:b/>
                <w:bCs/>
                <w:sz w:val="18"/>
                <w:szCs w:val="18"/>
              </w:rPr>
            </w:pPr>
            <w:r w:rsidRPr="008E781C">
              <w:rPr>
                <w:rFonts w:ascii="Century Gothic" w:hAnsi="Century Gothic"/>
                <w:bCs/>
                <w:sz w:val="18"/>
                <w:szCs w:val="18"/>
              </w:rPr>
              <w:t xml:space="preserve">grants the right to reside and work </w:t>
            </w:r>
            <w:r w:rsidR="00C86FCB" w:rsidRPr="008E781C">
              <w:rPr>
                <w:rFonts w:ascii="Century Gothic" w:hAnsi="Century Gothic"/>
                <w:bCs/>
                <w:sz w:val="18"/>
                <w:szCs w:val="18"/>
              </w:rPr>
              <w:t xml:space="preserve">for </w:t>
            </w:r>
            <w:r w:rsidRPr="008E781C">
              <w:rPr>
                <w:rFonts w:ascii="Century Gothic" w:hAnsi="Century Gothic"/>
                <w:bCs/>
                <w:sz w:val="18"/>
                <w:szCs w:val="18"/>
              </w:rPr>
              <w:t>2 years</w:t>
            </w:r>
            <w:r w:rsidRPr="008E781C">
              <w:rPr>
                <w:rStyle w:val="FootnoteReference"/>
                <w:rFonts w:ascii="Century Gothic" w:hAnsi="Century Gothic"/>
                <w:bCs/>
                <w:sz w:val="18"/>
                <w:szCs w:val="18"/>
              </w:rPr>
              <w:footnoteReference w:id="208"/>
            </w:r>
            <w:r w:rsidRPr="008E781C">
              <w:rPr>
                <w:rFonts w:ascii="Century Gothic" w:hAnsi="Century Gothic"/>
                <w:bCs/>
                <w:sz w:val="18"/>
                <w:szCs w:val="18"/>
              </w:rPr>
              <w:t xml:space="preserve"> (or 6 months when the investment is in real estate and</w:t>
            </w:r>
            <w:r w:rsidR="00BF7479" w:rsidRPr="008E781C">
              <w:rPr>
                <w:rFonts w:ascii="Century Gothic" w:hAnsi="Century Gothic"/>
                <w:bCs/>
                <w:sz w:val="18"/>
                <w:szCs w:val="18"/>
              </w:rPr>
              <w:t xml:space="preserve"> the purchase has not been formalised at the time of filing the </w:t>
            </w:r>
            <w:r w:rsidR="00BF7479" w:rsidRPr="008E781C">
              <w:rPr>
                <w:rFonts w:ascii="Century Gothic" w:hAnsi="Century Gothic"/>
                <w:bCs/>
                <w:sz w:val="18"/>
                <w:szCs w:val="18"/>
              </w:rPr>
              <w:lastRenderedPageBreak/>
              <w:t xml:space="preserve">application </w:t>
            </w:r>
            <w:r w:rsidR="00C86FCB" w:rsidRPr="008E781C">
              <w:rPr>
                <w:rFonts w:ascii="Century Gothic" w:hAnsi="Century Gothic"/>
                <w:bCs/>
                <w:sz w:val="18"/>
                <w:szCs w:val="18"/>
              </w:rPr>
              <w:t>but</w:t>
            </w:r>
            <w:r w:rsidRPr="008E781C">
              <w:rPr>
                <w:rFonts w:ascii="Century Gothic" w:hAnsi="Century Gothic"/>
                <w:bCs/>
                <w:sz w:val="18"/>
                <w:szCs w:val="18"/>
              </w:rPr>
              <w:t xml:space="preserve"> there is a pre-contract)</w:t>
            </w:r>
            <w:r w:rsidRPr="008E781C">
              <w:rPr>
                <w:rStyle w:val="FootnoteReference"/>
                <w:rFonts w:ascii="Century Gothic" w:hAnsi="Century Gothic"/>
                <w:bCs/>
                <w:sz w:val="18"/>
                <w:szCs w:val="18"/>
              </w:rPr>
              <w:footnoteReference w:id="209"/>
            </w:r>
          </w:p>
          <w:p w14:paraId="748A60A8" w14:textId="518011F2" w:rsidR="00446E8A" w:rsidRPr="008E781C" w:rsidRDefault="00446E8A" w:rsidP="001F39E0">
            <w:pPr>
              <w:jc w:val="both"/>
              <w:rPr>
                <w:rFonts w:ascii="Century Gothic" w:hAnsi="Century Gothic"/>
                <w:b/>
                <w:bCs/>
                <w:sz w:val="18"/>
                <w:szCs w:val="18"/>
              </w:rPr>
            </w:pPr>
          </w:p>
        </w:tc>
        <w:tc>
          <w:tcPr>
            <w:tcW w:w="1751" w:type="pct"/>
            <w:shd w:val="clear" w:color="auto" w:fill="D9D9D9" w:themeFill="background1" w:themeFillShade="D9"/>
          </w:tcPr>
          <w:p w14:paraId="00E4DFF6" w14:textId="1A361627" w:rsidR="00446E8A" w:rsidRPr="008E781C" w:rsidRDefault="00E6421F" w:rsidP="001F39E0">
            <w:pPr>
              <w:jc w:val="both"/>
              <w:rPr>
                <w:rFonts w:ascii="Century Gothic" w:hAnsi="Century Gothic"/>
                <w:bCs/>
                <w:sz w:val="18"/>
                <w:szCs w:val="18"/>
              </w:rPr>
            </w:pPr>
            <w:r w:rsidRPr="008E781C">
              <w:rPr>
                <w:rFonts w:ascii="Century Gothic" w:hAnsi="Century Gothic"/>
                <w:bCs/>
                <w:sz w:val="18"/>
                <w:szCs w:val="18"/>
              </w:rPr>
              <w:lastRenderedPageBreak/>
              <w:t xml:space="preserve">At the time of applying for an </w:t>
            </w:r>
            <w:r w:rsidRPr="008E781C">
              <w:rPr>
                <w:rFonts w:ascii="Century Gothic" w:hAnsi="Century Gothic"/>
                <w:b/>
                <w:bCs/>
                <w:sz w:val="18"/>
                <w:szCs w:val="18"/>
              </w:rPr>
              <w:t xml:space="preserve">investors’ residence authorisation </w:t>
            </w:r>
            <w:r w:rsidRPr="008E781C">
              <w:rPr>
                <w:rFonts w:ascii="Century Gothic" w:hAnsi="Century Gothic"/>
                <w:bCs/>
                <w:sz w:val="18"/>
                <w:szCs w:val="18"/>
              </w:rPr>
              <w:t>the applicant can be in either of the following situations:</w:t>
            </w:r>
          </w:p>
          <w:p w14:paraId="281D5157" w14:textId="092DAF2E" w:rsidR="00E6421F" w:rsidRPr="008E781C" w:rsidRDefault="00E6421F" w:rsidP="00BB6838">
            <w:pPr>
              <w:pStyle w:val="ListParagraph"/>
              <w:numPr>
                <w:ilvl w:val="0"/>
                <w:numId w:val="59"/>
              </w:numPr>
              <w:ind w:left="378" w:hanging="283"/>
              <w:rPr>
                <w:rFonts w:ascii="Century Gothic" w:hAnsi="Century Gothic"/>
                <w:bCs/>
                <w:sz w:val="18"/>
                <w:szCs w:val="18"/>
              </w:rPr>
            </w:pPr>
            <w:r w:rsidRPr="008E781C">
              <w:rPr>
                <w:rFonts w:ascii="Century Gothic" w:hAnsi="Century Gothic"/>
                <w:bCs/>
                <w:sz w:val="18"/>
                <w:szCs w:val="18"/>
              </w:rPr>
              <w:lastRenderedPageBreak/>
              <w:t xml:space="preserve">The applicant </w:t>
            </w:r>
            <w:r w:rsidRPr="008E781C">
              <w:rPr>
                <w:rFonts w:ascii="Century Gothic" w:hAnsi="Century Gothic"/>
                <w:b/>
                <w:bCs/>
                <w:sz w:val="18"/>
                <w:szCs w:val="18"/>
              </w:rPr>
              <w:t>holds</w:t>
            </w:r>
            <w:r w:rsidRPr="008E781C">
              <w:rPr>
                <w:rFonts w:ascii="Century Gothic" w:hAnsi="Century Gothic"/>
                <w:bCs/>
                <w:sz w:val="18"/>
                <w:szCs w:val="18"/>
              </w:rPr>
              <w:t xml:space="preserve"> </w:t>
            </w:r>
            <w:r w:rsidRPr="008E781C">
              <w:rPr>
                <w:rFonts w:ascii="Century Gothic" w:hAnsi="Century Gothic"/>
                <w:b/>
                <w:bCs/>
                <w:sz w:val="18"/>
                <w:szCs w:val="18"/>
              </w:rPr>
              <w:t xml:space="preserve">an investors’ residence visa </w:t>
            </w:r>
            <w:r w:rsidRPr="008E781C">
              <w:rPr>
                <w:rFonts w:ascii="Century Gothic" w:hAnsi="Century Gothic"/>
                <w:bCs/>
                <w:sz w:val="18"/>
                <w:szCs w:val="18"/>
              </w:rPr>
              <w:t xml:space="preserve">(whether still in force or whether 90 days have passed since the end of the period of validity </w:t>
            </w:r>
            <w:r w:rsidR="00BF7479" w:rsidRPr="008E781C">
              <w:rPr>
                <w:rFonts w:ascii="Century Gothic" w:hAnsi="Century Gothic"/>
                <w:bCs/>
                <w:sz w:val="18"/>
                <w:szCs w:val="18"/>
              </w:rPr>
              <w:t>of the visa</w:t>
            </w:r>
            <w:r w:rsidRPr="008E781C">
              <w:rPr>
                <w:rFonts w:ascii="Century Gothic" w:hAnsi="Century Gothic"/>
                <w:bCs/>
                <w:sz w:val="18"/>
                <w:szCs w:val="18"/>
              </w:rPr>
              <w:t>)</w:t>
            </w:r>
            <w:r w:rsidRPr="008E781C">
              <w:rPr>
                <w:rFonts w:ascii="Century Gothic" w:hAnsi="Century Gothic"/>
                <w:b/>
                <w:bCs/>
                <w:sz w:val="18"/>
                <w:szCs w:val="18"/>
              </w:rPr>
              <w:t>:</w:t>
            </w:r>
          </w:p>
          <w:p w14:paraId="5B6E1517" w14:textId="7E807D35" w:rsidR="00E6421F" w:rsidRPr="008E781C" w:rsidRDefault="00E6421F" w:rsidP="00BB6838">
            <w:pPr>
              <w:pStyle w:val="ListParagraph"/>
              <w:numPr>
                <w:ilvl w:val="0"/>
                <w:numId w:val="60"/>
              </w:numPr>
              <w:ind w:hanging="342"/>
              <w:rPr>
                <w:rFonts w:ascii="Century Gothic" w:hAnsi="Century Gothic"/>
                <w:bCs/>
                <w:sz w:val="18"/>
                <w:szCs w:val="18"/>
              </w:rPr>
            </w:pPr>
            <w:r w:rsidRPr="008E781C">
              <w:rPr>
                <w:rFonts w:ascii="Century Gothic" w:hAnsi="Century Gothic"/>
                <w:bCs/>
                <w:sz w:val="18"/>
                <w:szCs w:val="18"/>
              </w:rPr>
              <w:t xml:space="preserve">in this case, the applicant must prove that </w:t>
            </w:r>
            <w:r w:rsidRPr="008E781C">
              <w:rPr>
                <w:rFonts w:ascii="Century Gothic" w:hAnsi="Century Gothic"/>
                <w:b/>
                <w:bCs/>
                <w:sz w:val="18"/>
                <w:szCs w:val="18"/>
              </w:rPr>
              <w:t xml:space="preserve">the conditions that justified the issuance of the investors’ residence visa in the first place continue to </w:t>
            </w:r>
            <w:r w:rsidR="00C86FCB" w:rsidRPr="008E781C">
              <w:rPr>
                <w:rFonts w:ascii="Century Gothic" w:hAnsi="Century Gothic"/>
                <w:b/>
                <w:bCs/>
                <w:sz w:val="18"/>
                <w:szCs w:val="18"/>
              </w:rPr>
              <w:t>exist</w:t>
            </w:r>
            <w:r w:rsidR="00C86FCB" w:rsidRPr="008E781C">
              <w:rPr>
                <w:rFonts w:ascii="Century Gothic" w:hAnsi="Century Gothic"/>
                <w:bCs/>
                <w:sz w:val="18"/>
                <w:szCs w:val="18"/>
              </w:rPr>
              <w:t xml:space="preserve"> </w:t>
            </w:r>
            <w:r w:rsidRPr="008E781C">
              <w:rPr>
                <w:rFonts w:ascii="Century Gothic" w:hAnsi="Century Gothic"/>
                <w:bCs/>
                <w:sz w:val="18"/>
                <w:szCs w:val="18"/>
              </w:rPr>
              <w:t>and, thus,</w:t>
            </w:r>
            <w:r w:rsidR="001C01F0" w:rsidRPr="008E781C">
              <w:rPr>
                <w:rFonts w:ascii="Century Gothic" w:hAnsi="Century Gothic"/>
                <w:bCs/>
                <w:sz w:val="18"/>
                <w:szCs w:val="18"/>
              </w:rPr>
              <w:t xml:space="preserve"> inter alia, that the applicant has </w:t>
            </w:r>
            <w:r w:rsidR="001C01F0" w:rsidRPr="008E781C">
              <w:rPr>
                <w:rFonts w:ascii="Century Gothic" w:hAnsi="Century Gothic"/>
                <w:b/>
                <w:bCs/>
                <w:sz w:val="18"/>
                <w:szCs w:val="18"/>
              </w:rPr>
              <w:t>accommodation</w:t>
            </w:r>
            <w:r w:rsidR="001C01F0" w:rsidRPr="008E781C">
              <w:rPr>
                <w:rFonts w:ascii="Century Gothic" w:hAnsi="Century Gothic"/>
                <w:bCs/>
                <w:sz w:val="18"/>
                <w:szCs w:val="18"/>
              </w:rPr>
              <w:t xml:space="preserve"> or the necessary means to procure one</w:t>
            </w:r>
            <w:r w:rsidR="001C01F0" w:rsidRPr="008E781C">
              <w:rPr>
                <w:rStyle w:val="FootnoteReference"/>
                <w:rFonts w:ascii="Century Gothic" w:hAnsi="Century Gothic"/>
                <w:bCs/>
                <w:sz w:val="18"/>
                <w:szCs w:val="18"/>
              </w:rPr>
              <w:footnoteReference w:id="210"/>
            </w:r>
          </w:p>
          <w:p w14:paraId="5D7B8138" w14:textId="7F6BCF18" w:rsidR="00E6421F" w:rsidRPr="008E781C" w:rsidRDefault="00E6421F" w:rsidP="00BB6838">
            <w:pPr>
              <w:pStyle w:val="ListParagraph"/>
              <w:numPr>
                <w:ilvl w:val="0"/>
                <w:numId w:val="60"/>
              </w:numPr>
              <w:ind w:hanging="342"/>
              <w:rPr>
                <w:rFonts w:ascii="Century Gothic" w:hAnsi="Century Gothic"/>
                <w:bCs/>
                <w:sz w:val="18"/>
                <w:szCs w:val="18"/>
              </w:rPr>
            </w:pPr>
            <w:r w:rsidRPr="008E781C">
              <w:rPr>
                <w:rFonts w:ascii="Century Gothic" w:hAnsi="Century Gothic"/>
                <w:bCs/>
                <w:sz w:val="18"/>
                <w:szCs w:val="18"/>
              </w:rPr>
              <w:t xml:space="preserve">furthermore, since the applicant must hold a residence visa this means that the applicant must have been </w:t>
            </w:r>
            <w:r w:rsidR="00C86FCB" w:rsidRPr="008E781C">
              <w:rPr>
                <w:rFonts w:ascii="Century Gothic" w:hAnsi="Century Gothic"/>
                <w:b/>
                <w:bCs/>
                <w:sz w:val="18"/>
                <w:szCs w:val="18"/>
              </w:rPr>
              <w:t>physically present</w:t>
            </w:r>
            <w:r w:rsidR="004D3663" w:rsidRPr="008E781C">
              <w:rPr>
                <w:rStyle w:val="FootnoteReference"/>
                <w:rFonts w:ascii="Century Gothic" w:hAnsi="Century Gothic"/>
                <w:bCs/>
                <w:sz w:val="18"/>
                <w:szCs w:val="18"/>
              </w:rPr>
              <w:footnoteReference w:id="211"/>
            </w:r>
            <w:r w:rsidRPr="008E781C">
              <w:rPr>
                <w:rFonts w:ascii="Century Gothic" w:hAnsi="Century Gothic"/>
                <w:bCs/>
                <w:sz w:val="18"/>
                <w:szCs w:val="18"/>
              </w:rPr>
              <w:t xml:space="preserve"> in Spain for at least six months</w:t>
            </w:r>
            <w:r w:rsidRPr="008E781C">
              <w:rPr>
                <w:rStyle w:val="FootnoteReference"/>
                <w:rFonts w:ascii="Century Gothic" w:hAnsi="Century Gothic"/>
                <w:bCs/>
                <w:sz w:val="18"/>
                <w:szCs w:val="18"/>
              </w:rPr>
              <w:footnoteReference w:id="212"/>
            </w:r>
          </w:p>
          <w:p w14:paraId="25A855BB" w14:textId="77777777" w:rsidR="001C01F0" w:rsidRPr="008E781C" w:rsidRDefault="001C01F0" w:rsidP="00BB6838">
            <w:pPr>
              <w:pStyle w:val="ListParagraph"/>
              <w:numPr>
                <w:ilvl w:val="0"/>
                <w:numId w:val="59"/>
              </w:numPr>
              <w:ind w:left="378" w:hanging="283"/>
              <w:rPr>
                <w:rFonts w:ascii="Century Gothic" w:hAnsi="Century Gothic"/>
                <w:bCs/>
                <w:sz w:val="18"/>
                <w:szCs w:val="18"/>
              </w:rPr>
            </w:pPr>
            <w:r w:rsidRPr="008E781C">
              <w:rPr>
                <w:rFonts w:ascii="Century Gothic" w:hAnsi="Century Gothic"/>
                <w:bCs/>
                <w:sz w:val="18"/>
                <w:szCs w:val="18"/>
              </w:rPr>
              <w:t xml:space="preserve">The applicant </w:t>
            </w:r>
            <w:r w:rsidRPr="008E781C">
              <w:rPr>
                <w:rFonts w:ascii="Century Gothic" w:hAnsi="Century Gothic"/>
                <w:b/>
                <w:bCs/>
                <w:sz w:val="18"/>
                <w:szCs w:val="18"/>
              </w:rPr>
              <w:t>does not hold an investors’ residence visa but is legally residing in Spain</w:t>
            </w:r>
            <w:r w:rsidRPr="008E781C">
              <w:rPr>
                <w:rStyle w:val="FootnoteReference"/>
                <w:rFonts w:ascii="Century Gothic" w:hAnsi="Century Gothic"/>
                <w:b/>
                <w:bCs/>
                <w:sz w:val="18"/>
                <w:szCs w:val="18"/>
              </w:rPr>
              <w:footnoteReference w:id="213"/>
            </w:r>
            <w:r w:rsidRPr="008E781C">
              <w:rPr>
                <w:rFonts w:ascii="Century Gothic" w:hAnsi="Century Gothic"/>
                <w:bCs/>
                <w:sz w:val="18"/>
                <w:szCs w:val="18"/>
              </w:rPr>
              <w:t xml:space="preserve"> (e.g. under a stay visa with a temporary residence authorisation): </w:t>
            </w:r>
          </w:p>
          <w:p w14:paraId="65DC4DF6" w14:textId="0DA93BB8" w:rsidR="00E6421F" w:rsidRPr="008E781C" w:rsidRDefault="001C01F0" w:rsidP="00BB6838">
            <w:pPr>
              <w:pStyle w:val="ListParagraph"/>
              <w:numPr>
                <w:ilvl w:val="0"/>
                <w:numId w:val="60"/>
              </w:numPr>
              <w:ind w:hanging="342"/>
              <w:rPr>
                <w:rFonts w:ascii="Century Gothic" w:hAnsi="Century Gothic"/>
                <w:bCs/>
                <w:sz w:val="18"/>
                <w:szCs w:val="18"/>
              </w:rPr>
            </w:pPr>
            <w:r w:rsidRPr="008E781C">
              <w:rPr>
                <w:rFonts w:ascii="Century Gothic" w:hAnsi="Century Gothic"/>
                <w:bCs/>
                <w:sz w:val="18"/>
                <w:szCs w:val="18"/>
              </w:rPr>
              <w:lastRenderedPageBreak/>
              <w:t>s/he must meet the general requirements of Regulation 810/2009</w:t>
            </w:r>
            <w:r w:rsidRPr="008E781C">
              <w:rPr>
                <w:rStyle w:val="FootnoteReference"/>
                <w:rFonts w:ascii="Century Gothic" w:hAnsi="Century Gothic"/>
                <w:bCs/>
                <w:sz w:val="18"/>
                <w:szCs w:val="18"/>
              </w:rPr>
              <w:footnoteReference w:id="214"/>
            </w:r>
            <w:r w:rsidRPr="008E781C">
              <w:rPr>
                <w:rFonts w:ascii="Century Gothic" w:hAnsi="Century Gothic"/>
                <w:bCs/>
                <w:sz w:val="18"/>
                <w:szCs w:val="18"/>
              </w:rPr>
              <w:t xml:space="preserve"> </w:t>
            </w:r>
            <w:r w:rsidR="00BF7479" w:rsidRPr="008E781C">
              <w:rPr>
                <w:rFonts w:ascii="Century Gothic" w:hAnsi="Century Gothic"/>
                <w:bCs/>
                <w:sz w:val="18"/>
                <w:szCs w:val="18"/>
              </w:rPr>
              <w:t xml:space="preserve">which includes </w:t>
            </w:r>
            <w:r w:rsidRPr="008E781C">
              <w:rPr>
                <w:rFonts w:ascii="Century Gothic" w:hAnsi="Century Gothic"/>
                <w:b/>
                <w:bCs/>
                <w:sz w:val="18"/>
                <w:szCs w:val="18"/>
              </w:rPr>
              <w:t>proof of having secured an accommodation</w:t>
            </w:r>
            <w:r w:rsidRPr="008E781C">
              <w:rPr>
                <w:rFonts w:ascii="Century Gothic" w:hAnsi="Century Gothic"/>
                <w:bCs/>
                <w:sz w:val="18"/>
                <w:szCs w:val="18"/>
              </w:rPr>
              <w:t xml:space="preserve"> or having sufficient financial means for it</w:t>
            </w:r>
            <w:r w:rsidRPr="008E781C">
              <w:rPr>
                <w:rStyle w:val="FootnoteReference"/>
                <w:rFonts w:ascii="Century Gothic" w:hAnsi="Century Gothic"/>
                <w:bCs/>
                <w:sz w:val="18"/>
                <w:szCs w:val="18"/>
              </w:rPr>
              <w:footnoteReference w:id="215"/>
            </w:r>
          </w:p>
          <w:p w14:paraId="5304A6D9" w14:textId="09F8D49B" w:rsidR="001C01F0" w:rsidRPr="008E781C" w:rsidRDefault="001C01F0" w:rsidP="00BB6838">
            <w:pPr>
              <w:pStyle w:val="ListParagraph"/>
              <w:numPr>
                <w:ilvl w:val="0"/>
                <w:numId w:val="60"/>
              </w:numPr>
              <w:ind w:hanging="342"/>
              <w:rPr>
                <w:rFonts w:ascii="Century Gothic" w:hAnsi="Century Gothic"/>
                <w:bCs/>
                <w:sz w:val="18"/>
                <w:szCs w:val="18"/>
              </w:rPr>
            </w:pPr>
            <w:r w:rsidRPr="008E781C">
              <w:rPr>
                <w:rFonts w:ascii="Century Gothic" w:hAnsi="Century Gothic"/>
                <w:bCs/>
                <w:sz w:val="18"/>
                <w:szCs w:val="18"/>
              </w:rPr>
              <w:t>furthermore, since the applicant has to be legally residing in Spain, this means that proof of such residence must be provided</w:t>
            </w:r>
            <w:r w:rsidR="00E77018" w:rsidRPr="008E781C">
              <w:rPr>
                <w:rFonts w:ascii="Century Gothic" w:hAnsi="Century Gothic"/>
                <w:bCs/>
                <w:sz w:val="18"/>
                <w:szCs w:val="18"/>
              </w:rPr>
              <w:t xml:space="preserve"> and, thus, that the applicant must be </w:t>
            </w:r>
            <w:r w:rsidR="00E77018" w:rsidRPr="008E781C">
              <w:rPr>
                <w:rFonts w:ascii="Century Gothic" w:hAnsi="Century Gothic"/>
                <w:b/>
                <w:bCs/>
                <w:sz w:val="18"/>
                <w:szCs w:val="18"/>
              </w:rPr>
              <w:t>physically</w:t>
            </w:r>
            <w:r w:rsidR="00C86FCB" w:rsidRPr="008E781C">
              <w:rPr>
                <w:rFonts w:ascii="Century Gothic" w:hAnsi="Century Gothic"/>
                <w:b/>
                <w:bCs/>
                <w:sz w:val="18"/>
                <w:szCs w:val="18"/>
              </w:rPr>
              <w:t xml:space="preserve"> present</w:t>
            </w:r>
            <w:r w:rsidR="00E77018" w:rsidRPr="008E781C">
              <w:rPr>
                <w:rFonts w:ascii="Century Gothic" w:hAnsi="Century Gothic"/>
                <w:b/>
                <w:bCs/>
                <w:sz w:val="18"/>
                <w:szCs w:val="18"/>
              </w:rPr>
              <w:t xml:space="preserve"> </w:t>
            </w:r>
            <w:r w:rsidR="00E77018" w:rsidRPr="008E781C">
              <w:rPr>
                <w:rFonts w:ascii="Century Gothic" w:hAnsi="Century Gothic"/>
                <w:bCs/>
                <w:sz w:val="18"/>
                <w:szCs w:val="18"/>
              </w:rPr>
              <w:t>in Spain</w:t>
            </w:r>
            <w:r w:rsidRPr="008E781C">
              <w:rPr>
                <w:rFonts w:ascii="Century Gothic" w:hAnsi="Century Gothic"/>
                <w:bCs/>
                <w:sz w:val="18"/>
                <w:szCs w:val="18"/>
              </w:rPr>
              <w:t>.</w:t>
            </w:r>
          </w:p>
          <w:p w14:paraId="121FB577" w14:textId="77777777" w:rsidR="001C01F0" w:rsidRPr="008E781C" w:rsidRDefault="001C01F0" w:rsidP="001F39E0">
            <w:pPr>
              <w:jc w:val="both"/>
              <w:rPr>
                <w:rFonts w:ascii="Century Gothic" w:hAnsi="Century Gothic"/>
                <w:bCs/>
                <w:sz w:val="18"/>
                <w:szCs w:val="18"/>
              </w:rPr>
            </w:pPr>
          </w:p>
          <w:p w14:paraId="7BAB11E0" w14:textId="20D426C5" w:rsidR="001C01F0" w:rsidRPr="008E781C" w:rsidRDefault="001C01F0" w:rsidP="001F39E0">
            <w:pPr>
              <w:jc w:val="both"/>
              <w:rPr>
                <w:rFonts w:ascii="Century Gothic" w:hAnsi="Century Gothic"/>
                <w:bCs/>
                <w:sz w:val="18"/>
                <w:szCs w:val="18"/>
              </w:rPr>
            </w:pPr>
            <w:r w:rsidRPr="008E781C">
              <w:rPr>
                <w:rFonts w:ascii="Century Gothic" w:hAnsi="Century Gothic"/>
                <w:bCs/>
                <w:sz w:val="18"/>
                <w:szCs w:val="18"/>
              </w:rPr>
              <w:t xml:space="preserve">Furthermore, as with the investors’ residence visa, </w:t>
            </w:r>
            <w:r w:rsidRPr="008E781C">
              <w:rPr>
                <w:rFonts w:ascii="Century Gothic" w:hAnsi="Century Gothic"/>
                <w:b/>
                <w:bCs/>
                <w:sz w:val="18"/>
                <w:szCs w:val="18"/>
              </w:rPr>
              <w:t>the conditions that justify the granting and issuance of an investors’ residence authorisation must be maintained during the period of validity of the authorisation</w:t>
            </w:r>
            <w:r w:rsidR="0021570E" w:rsidRPr="008E781C">
              <w:rPr>
                <w:rStyle w:val="FootnoteReference"/>
                <w:rFonts w:ascii="Century Gothic" w:hAnsi="Century Gothic"/>
                <w:bCs/>
                <w:sz w:val="18"/>
                <w:szCs w:val="18"/>
              </w:rPr>
              <w:footnoteReference w:id="216"/>
            </w:r>
            <w:r w:rsidRPr="008E781C">
              <w:rPr>
                <w:rFonts w:ascii="Century Gothic" w:hAnsi="Century Gothic"/>
                <w:bCs/>
                <w:sz w:val="18"/>
                <w:szCs w:val="18"/>
              </w:rPr>
              <w:t xml:space="preserve"> (at least</w:t>
            </w:r>
            <w:r w:rsidR="0021570E" w:rsidRPr="008E781C">
              <w:rPr>
                <w:rFonts w:ascii="Century Gothic" w:hAnsi="Century Gothic"/>
                <w:bCs/>
                <w:sz w:val="18"/>
                <w:szCs w:val="18"/>
              </w:rPr>
              <w:t xml:space="preserve"> six months).</w:t>
            </w:r>
            <w:r w:rsidR="0021570E" w:rsidRPr="008E781C">
              <w:rPr>
                <w:rStyle w:val="FootnoteReference"/>
                <w:rFonts w:ascii="Century Gothic" w:hAnsi="Century Gothic"/>
                <w:bCs/>
                <w:sz w:val="18"/>
                <w:szCs w:val="18"/>
              </w:rPr>
              <w:footnoteReference w:id="217"/>
            </w:r>
            <w:r w:rsidR="0021570E" w:rsidRPr="008E781C">
              <w:rPr>
                <w:rFonts w:ascii="Century Gothic" w:hAnsi="Century Gothic"/>
                <w:bCs/>
                <w:sz w:val="18"/>
                <w:szCs w:val="18"/>
              </w:rPr>
              <w:t xml:space="preserve"> As explained in the row above, if any </w:t>
            </w:r>
            <w:r w:rsidR="0021570E" w:rsidRPr="008E781C">
              <w:rPr>
                <w:rFonts w:ascii="Century Gothic" w:hAnsi="Century Gothic"/>
                <w:b/>
                <w:bCs/>
                <w:sz w:val="18"/>
                <w:szCs w:val="18"/>
              </w:rPr>
              <w:t>changes</w:t>
            </w:r>
            <w:r w:rsidR="0021570E" w:rsidRPr="008E781C">
              <w:rPr>
                <w:rFonts w:ascii="Century Gothic" w:hAnsi="Century Gothic"/>
                <w:bCs/>
                <w:sz w:val="18"/>
                <w:szCs w:val="18"/>
              </w:rPr>
              <w:t xml:space="preserve"> to such circumstances occur, the DGM may implement the necessary measures to monitor that such conditions continue to be met</w:t>
            </w:r>
            <w:r w:rsidR="0021570E" w:rsidRPr="008E781C">
              <w:rPr>
                <w:rFonts w:ascii="Century Gothic" w:hAnsi="Century Gothic"/>
                <w:bCs/>
                <w:sz w:val="18"/>
                <w:szCs w:val="18"/>
                <w:vertAlign w:val="superscript"/>
              </w:rPr>
              <w:footnoteReference w:id="218"/>
            </w:r>
            <w:r w:rsidR="0021570E" w:rsidRPr="008E781C">
              <w:rPr>
                <w:rFonts w:ascii="Century Gothic" w:hAnsi="Century Gothic"/>
                <w:bCs/>
                <w:sz w:val="18"/>
                <w:szCs w:val="18"/>
              </w:rPr>
              <w:t xml:space="preserve"> and, if as a result of such control the DGM concludes that the conditions have ceased to </w:t>
            </w:r>
            <w:r w:rsidR="00C86FCB" w:rsidRPr="008E781C">
              <w:rPr>
                <w:rFonts w:ascii="Century Gothic" w:hAnsi="Century Gothic"/>
                <w:bCs/>
                <w:sz w:val="18"/>
                <w:szCs w:val="18"/>
              </w:rPr>
              <w:t>exist</w:t>
            </w:r>
            <w:r w:rsidR="0021570E" w:rsidRPr="008E781C">
              <w:rPr>
                <w:rFonts w:ascii="Century Gothic" w:hAnsi="Century Gothic"/>
                <w:bCs/>
                <w:sz w:val="18"/>
                <w:szCs w:val="18"/>
              </w:rPr>
              <w:t xml:space="preserve">, it can, in a reasoned way, </w:t>
            </w:r>
            <w:r w:rsidR="00E77018" w:rsidRPr="008E781C">
              <w:rPr>
                <w:rFonts w:ascii="Century Gothic" w:hAnsi="Century Gothic"/>
                <w:b/>
                <w:bCs/>
                <w:sz w:val="18"/>
                <w:szCs w:val="18"/>
              </w:rPr>
              <w:t>withdraw</w:t>
            </w:r>
            <w:r w:rsidR="0021570E" w:rsidRPr="008E781C">
              <w:rPr>
                <w:rFonts w:ascii="Century Gothic" w:hAnsi="Century Gothic"/>
                <w:bCs/>
                <w:sz w:val="18"/>
                <w:szCs w:val="18"/>
              </w:rPr>
              <w:t xml:space="preserve"> the residence authorisation, after hearing the affected parties.</w:t>
            </w:r>
            <w:r w:rsidR="0021570E" w:rsidRPr="008E781C">
              <w:rPr>
                <w:rStyle w:val="FootnoteReference"/>
                <w:rFonts w:ascii="Century Gothic" w:hAnsi="Century Gothic"/>
                <w:bCs/>
                <w:sz w:val="18"/>
                <w:szCs w:val="18"/>
              </w:rPr>
              <w:footnoteReference w:id="219"/>
            </w:r>
          </w:p>
        </w:tc>
        <w:tc>
          <w:tcPr>
            <w:tcW w:w="865" w:type="pct"/>
            <w:shd w:val="clear" w:color="auto" w:fill="D9D9D9" w:themeFill="background1" w:themeFillShade="D9"/>
          </w:tcPr>
          <w:p w14:paraId="3816C274" w14:textId="2EB1F37A" w:rsidR="0021570E" w:rsidRPr="008E781C" w:rsidRDefault="00C86FCB" w:rsidP="001F39E0">
            <w:pPr>
              <w:jc w:val="both"/>
              <w:rPr>
                <w:rFonts w:ascii="Century Gothic" w:hAnsi="Century Gothic"/>
                <w:bCs/>
                <w:sz w:val="18"/>
                <w:szCs w:val="18"/>
              </w:rPr>
            </w:pPr>
            <w:r w:rsidRPr="008E781C">
              <w:rPr>
                <w:rFonts w:ascii="Century Gothic" w:hAnsi="Century Gothic"/>
                <w:bCs/>
                <w:sz w:val="18"/>
                <w:szCs w:val="18"/>
              </w:rPr>
              <w:lastRenderedPageBreak/>
              <w:t>Applications</w:t>
            </w:r>
            <w:r w:rsidR="00026FAB" w:rsidRPr="008E781C">
              <w:rPr>
                <w:rFonts w:ascii="Century Gothic" w:hAnsi="Century Gothic"/>
                <w:bCs/>
                <w:sz w:val="18"/>
                <w:szCs w:val="18"/>
              </w:rPr>
              <w:t xml:space="preserve"> for an investors’</w:t>
            </w:r>
            <w:r w:rsidR="0021570E" w:rsidRPr="008E781C">
              <w:rPr>
                <w:rFonts w:ascii="Century Gothic" w:hAnsi="Century Gothic"/>
                <w:bCs/>
                <w:sz w:val="18"/>
                <w:szCs w:val="18"/>
              </w:rPr>
              <w:t xml:space="preserve"> residence </w:t>
            </w:r>
            <w:r w:rsidR="00026FAB" w:rsidRPr="008E781C">
              <w:rPr>
                <w:rFonts w:ascii="Century Gothic" w:hAnsi="Century Gothic"/>
                <w:bCs/>
                <w:sz w:val="18"/>
                <w:szCs w:val="18"/>
              </w:rPr>
              <w:t>authorisation</w:t>
            </w:r>
            <w:r w:rsidR="0021570E" w:rsidRPr="008E781C">
              <w:rPr>
                <w:rFonts w:ascii="Century Gothic" w:hAnsi="Century Gothic"/>
                <w:bCs/>
                <w:sz w:val="18"/>
                <w:szCs w:val="18"/>
              </w:rPr>
              <w:t xml:space="preserve"> </w:t>
            </w:r>
            <w:r w:rsidRPr="008E781C">
              <w:rPr>
                <w:rFonts w:ascii="Century Gothic" w:hAnsi="Century Gothic"/>
                <w:bCs/>
                <w:sz w:val="18"/>
                <w:szCs w:val="18"/>
              </w:rPr>
              <w:t xml:space="preserve">are </w:t>
            </w:r>
            <w:r w:rsidRPr="008E781C">
              <w:rPr>
                <w:rFonts w:ascii="Century Gothic" w:hAnsi="Century Gothic"/>
                <w:bCs/>
                <w:sz w:val="18"/>
                <w:szCs w:val="18"/>
              </w:rPr>
              <w:lastRenderedPageBreak/>
              <w:t xml:space="preserve">processed by the </w:t>
            </w:r>
            <w:r w:rsidR="0021570E" w:rsidRPr="008E781C">
              <w:rPr>
                <w:rFonts w:ascii="Century Gothic" w:hAnsi="Century Gothic"/>
                <w:b/>
                <w:bCs/>
                <w:sz w:val="18"/>
                <w:szCs w:val="18"/>
              </w:rPr>
              <w:t>UGE-CE</w:t>
            </w:r>
            <w:r w:rsidR="0021570E" w:rsidRPr="008E781C">
              <w:rPr>
                <w:rFonts w:ascii="Century Gothic" w:hAnsi="Century Gothic"/>
                <w:bCs/>
                <w:sz w:val="18"/>
                <w:szCs w:val="18"/>
              </w:rPr>
              <w:t>.</w:t>
            </w:r>
            <w:r w:rsidR="0021570E" w:rsidRPr="008E781C">
              <w:rPr>
                <w:rStyle w:val="FootnoteReference"/>
                <w:rFonts w:ascii="Century Gothic" w:hAnsi="Century Gothic"/>
                <w:bCs/>
                <w:sz w:val="18"/>
                <w:szCs w:val="18"/>
              </w:rPr>
              <w:footnoteReference w:id="220"/>
            </w:r>
            <w:r w:rsidR="0021570E" w:rsidRPr="008E781C">
              <w:rPr>
                <w:rFonts w:ascii="Century Gothic" w:hAnsi="Century Gothic"/>
                <w:bCs/>
                <w:sz w:val="18"/>
                <w:szCs w:val="18"/>
              </w:rPr>
              <w:t xml:space="preserve"> </w:t>
            </w:r>
            <w:r w:rsidR="00026FAB" w:rsidRPr="008E781C">
              <w:rPr>
                <w:rFonts w:ascii="Century Gothic" w:hAnsi="Century Gothic"/>
                <w:bCs/>
                <w:sz w:val="18"/>
                <w:szCs w:val="18"/>
              </w:rPr>
              <w:t>The UGE-CE monitor</w:t>
            </w:r>
            <w:r w:rsidRPr="008E781C">
              <w:rPr>
                <w:rFonts w:ascii="Century Gothic" w:hAnsi="Century Gothic"/>
                <w:bCs/>
                <w:sz w:val="18"/>
                <w:szCs w:val="18"/>
              </w:rPr>
              <w:t>s</w:t>
            </w:r>
            <w:r w:rsidR="00026FAB" w:rsidRPr="008E781C">
              <w:rPr>
                <w:rFonts w:ascii="Century Gothic" w:hAnsi="Century Gothic"/>
                <w:bCs/>
                <w:sz w:val="18"/>
                <w:szCs w:val="18"/>
              </w:rPr>
              <w:t xml:space="preserve"> and </w:t>
            </w:r>
            <w:r w:rsidRPr="008E781C">
              <w:rPr>
                <w:rFonts w:ascii="Century Gothic" w:hAnsi="Century Gothic"/>
                <w:bCs/>
                <w:sz w:val="18"/>
                <w:szCs w:val="18"/>
              </w:rPr>
              <w:t xml:space="preserve">verifies </w:t>
            </w:r>
            <w:r w:rsidR="00026FAB" w:rsidRPr="008E781C">
              <w:rPr>
                <w:rFonts w:ascii="Century Gothic" w:hAnsi="Century Gothic"/>
                <w:bCs/>
                <w:sz w:val="18"/>
                <w:szCs w:val="18"/>
              </w:rPr>
              <w:t>whether the applicant meets the legal requirements (including regarding residence) at the time of filing the application.</w:t>
            </w:r>
            <w:r w:rsidR="00026FAB" w:rsidRPr="008E781C">
              <w:rPr>
                <w:rStyle w:val="FootnoteReference"/>
                <w:rFonts w:ascii="Century Gothic" w:hAnsi="Century Gothic"/>
                <w:bCs/>
                <w:sz w:val="18"/>
                <w:szCs w:val="18"/>
              </w:rPr>
              <w:footnoteReference w:id="221"/>
            </w:r>
            <w:r w:rsidR="00026FAB" w:rsidRPr="008E781C">
              <w:rPr>
                <w:rFonts w:ascii="Century Gothic" w:hAnsi="Century Gothic"/>
                <w:bCs/>
                <w:sz w:val="18"/>
                <w:szCs w:val="18"/>
              </w:rPr>
              <w:t xml:space="preserve"> </w:t>
            </w:r>
          </w:p>
          <w:p w14:paraId="5C2EBA66" w14:textId="77777777" w:rsidR="0021570E" w:rsidRPr="008E781C" w:rsidRDefault="0021570E" w:rsidP="001F39E0">
            <w:pPr>
              <w:jc w:val="both"/>
              <w:rPr>
                <w:rFonts w:ascii="Century Gothic" w:hAnsi="Century Gothic"/>
                <w:bCs/>
                <w:sz w:val="18"/>
                <w:szCs w:val="18"/>
              </w:rPr>
            </w:pPr>
          </w:p>
          <w:p w14:paraId="07B1C83B" w14:textId="7F699AF3" w:rsidR="0021570E" w:rsidRPr="008E781C" w:rsidRDefault="0021570E" w:rsidP="001F39E0">
            <w:pPr>
              <w:jc w:val="both"/>
              <w:rPr>
                <w:rFonts w:ascii="Century Gothic" w:hAnsi="Century Gothic"/>
                <w:bCs/>
                <w:sz w:val="18"/>
                <w:szCs w:val="18"/>
              </w:rPr>
            </w:pPr>
            <w:r w:rsidRPr="008E781C">
              <w:rPr>
                <w:rFonts w:ascii="Century Gothic" w:hAnsi="Century Gothic"/>
                <w:bCs/>
                <w:sz w:val="18"/>
                <w:szCs w:val="18"/>
              </w:rPr>
              <w:t xml:space="preserve">The authorisation is granted by the </w:t>
            </w:r>
            <w:r w:rsidRPr="008E781C">
              <w:rPr>
                <w:rFonts w:ascii="Century Gothic" w:hAnsi="Century Gothic"/>
                <w:b/>
                <w:bCs/>
                <w:sz w:val="18"/>
                <w:szCs w:val="18"/>
              </w:rPr>
              <w:t>DGM</w:t>
            </w:r>
            <w:r w:rsidR="00C86FCB" w:rsidRPr="008E781C">
              <w:rPr>
                <w:rFonts w:ascii="Century Gothic" w:hAnsi="Century Gothic"/>
                <w:bCs/>
                <w:sz w:val="18"/>
                <w:szCs w:val="18"/>
              </w:rPr>
              <w:t>.</w:t>
            </w:r>
            <w:r w:rsidRPr="008E781C">
              <w:rPr>
                <w:rStyle w:val="FootnoteReference"/>
                <w:rFonts w:ascii="Century Gothic" w:hAnsi="Century Gothic"/>
                <w:bCs/>
                <w:sz w:val="18"/>
                <w:szCs w:val="18"/>
              </w:rPr>
              <w:footnoteReference w:id="222"/>
            </w:r>
            <w:r w:rsidR="00026FAB" w:rsidRPr="008E781C">
              <w:rPr>
                <w:rFonts w:ascii="Century Gothic" w:hAnsi="Century Gothic"/>
                <w:bCs/>
                <w:sz w:val="18"/>
                <w:szCs w:val="18"/>
              </w:rPr>
              <w:t xml:space="preserve"> The DGM </w:t>
            </w:r>
            <w:r w:rsidR="00026FAB" w:rsidRPr="008E781C">
              <w:rPr>
                <w:rFonts w:ascii="Century Gothic" w:hAnsi="Century Gothic"/>
                <w:b/>
                <w:bCs/>
                <w:sz w:val="18"/>
                <w:szCs w:val="18"/>
              </w:rPr>
              <w:t>examine</w:t>
            </w:r>
            <w:r w:rsidR="00C86FCB" w:rsidRPr="008E781C">
              <w:rPr>
                <w:rFonts w:ascii="Century Gothic" w:hAnsi="Century Gothic"/>
                <w:b/>
                <w:bCs/>
                <w:sz w:val="18"/>
                <w:szCs w:val="18"/>
              </w:rPr>
              <w:t>s</w:t>
            </w:r>
            <w:r w:rsidR="00026FAB" w:rsidRPr="008E781C">
              <w:rPr>
                <w:rFonts w:ascii="Century Gothic" w:hAnsi="Century Gothic"/>
                <w:bCs/>
                <w:sz w:val="18"/>
                <w:szCs w:val="18"/>
              </w:rPr>
              <w:t xml:space="preserve"> whether the </w:t>
            </w:r>
            <w:r w:rsidR="00026FAB" w:rsidRPr="008E781C">
              <w:rPr>
                <w:rFonts w:ascii="Century Gothic" w:hAnsi="Century Gothic"/>
                <w:b/>
                <w:bCs/>
                <w:sz w:val="18"/>
                <w:szCs w:val="18"/>
              </w:rPr>
              <w:t xml:space="preserve">conditions that justified the issuance of the authorisation in the first place continue to </w:t>
            </w:r>
            <w:r w:rsidR="00C86FCB" w:rsidRPr="008E781C">
              <w:rPr>
                <w:rFonts w:ascii="Century Gothic" w:hAnsi="Century Gothic"/>
                <w:b/>
                <w:bCs/>
                <w:sz w:val="18"/>
                <w:szCs w:val="18"/>
              </w:rPr>
              <w:t xml:space="preserve">exist </w:t>
            </w:r>
            <w:r w:rsidR="00026FAB" w:rsidRPr="008E781C">
              <w:rPr>
                <w:rFonts w:ascii="Century Gothic" w:hAnsi="Century Gothic"/>
                <w:b/>
                <w:bCs/>
                <w:sz w:val="18"/>
                <w:szCs w:val="18"/>
              </w:rPr>
              <w:t xml:space="preserve">during the period of </w:t>
            </w:r>
            <w:r w:rsidR="00026FAB" w:rsidRPr="008E781C">
              <w:rPr>
                <w:rFonts w:ascii="Century Gothic" w:hAnsi="Century Gothic"/>
                <w:b/>
                <w:bCs/>
                <w:sz w:val="18"/>
                <w:szCs w:val="18"/>
              </w:rPr>
              <w:lastRenderedPageBreak/>
              <w:t>validity of the authorisation</w:t>
            </w:r>
            <w:r w:rsidR="00026FAB" w:rsidRPr="008E781C">
              <w:rPr>
                <w:rFonts w:ascii="Century Gothic" w:hAnsi="Century Gothic"/>
                <w:bCs/>
                <w:sz w:val="18"/>
                <w:szCs w:val="18"/>
              </w:rPr>
              <w:t>.</w:t>
            </w:r>
            <w:r w:rsidR="00026FAB" w:rsidRPr="008E781C">
              <w:rPr>
                <w:rStyle w:val="FootnoteReference"/>
                <w:rFonts w:ascii="Century Gothic" w:hAnsi="Century Gothic"/>
                <w:bCs/>
                <w:sz w:val="18"/>
                <w:szCs w:val="18"/>
              </w:rPr>
              <w:footnoteReference w:id="223"/>
            </w:r>
            <w:r w:rsidR="00026FAB" w:rsidRPr="008E781C">
              <w:rPr>
                <w:rFonts w:ascii="Century Gothic" w:hAnsi="Century Gothic"/>
                <w:bCs/>
                <w:sz w:val="18"/>
                <w:szCs w:val="18"/>
              </w:rPr>
              <w:t xml:space="preserve"> For such purposes, it may implement the necessary </w:t>
            </w:r>
            <w:r w:rsidR="00C86FCB" w:rsidRPr="008E781C">
              <w:rPr>
                <w:rFonts w:ascii="Century Gothic" w:hAnsi="Century Gothic"/>
                <w:bCs/>
                <w:sz w:val="18"/>
                <w:szCs w:val="18"/>
              </w:rPr>
              <w:t xml:space="preserve">monitoring </w:t>
            </w:r>
            <w:r w:rsidR="00026FAB" w:rsidRPr="008E781C">
              <w:rPr>
                <w:rFonts w:ascii="Century Gothic" w:hAnsi="Century Gothic"/>
                <w:bCs/>
                <w:sz w:val="18"/>
                <w:szCs w:val="18"/>
              </w:rPr>
              <w:t>measures</w:t>
            </w:r>
            <w:r w:rsidR="00026FAB" w:rsidRPr="008E781C">
              <w:rPr>
                <w:rStyle w:val="FootnoteReference"/>
                <w:rFonts w:ascii="Century Gothic" w:hAnsi="Century Gothic"/>
                <w:bCs/>
                <w:sz w:val="18"/>
                <w:szCs w:val="18"/>
              </w:rPr>
              <w:footnoteReference w:id="224"/>
            </w:r>
            <w:r w:rsidR="00026FAB" w:rsidRPr="008E781C">
              <w:rPr>
                <w:rFonts w:ascii="Century Gothic" w:hAnsi="Century Gothic"/>
                <w:bCs/>
                <w:sz w:val="18"/>
                <w:szCs w:val="18"/>
              </w:rPr>
              <w:t xml:space="preserve"> (e.g. in cooperation with police officers the DGM may check whether the place of residence indicated in the application continues to be the same by visiting the address).</w:t>
            </w:r>
          </w:p>
          <w:p w14:paraId="6CD9C086" w14:textId="77777777" w:rsidR="00446E8A" w:rsidRPr="008E781C" w:rsidRDefault="00446E8A" w:rsidP="001F39E0">
            <w:pPr>
              <w:jc w:val="both"/>
              <w:rPr>
                <w:rFonts w:ascii="Century Gothic" w:hAnsi="Century Gothic"/>
                <w:bCs/>
                <w:sz w:val="18"/>
                <w:szCs w:val="18"/>
              </w:rPr>
            </w:pPr>
          </w:p>
        </w:tc>
        <w:tc>
          <w:tcPr>
            <w:tcW w:w="1902" w:type="pct"/>
            <w:shd w:val="clear" w:color="auto" w:fill="D9D9D9" w:themeFill="background1" w:themeFillShade="D9"/>
          </w:tcPr>
          <w:p w14:paraId="3AFBB412" w14:textId="6CD2DDE5" w:rsidR="00026FAB" w:rsidRPr="008E781C" w:rsidRDefault="00026FAB" w:rsidP="001F39E0">
            <w:pPr>
              <w:jc w:val="both"/>
              <w:rPr>
                <w:rFonts w:ascii="Century Gothic" w:hAnsi="Century Gothic"/>
                <w:bCs/>
                <w:sz w:val="18"/>
                <w:szCs w:val="18"/>
              </w:rPr>
            </w:pPr>
            <w:r w:rsidRPr="008E781C">
              <w:rPr>
                <w:rFonts w:ascii="Century Gothic" w:hAnsi="Century Gothic"/>
                <w:bCs/>
                <w:sz w:val="18"/>
                <w:szCs w:val="18"/>
              </w:rPr>
              <w:lastRenderedPageBreak/>
              <w:t xml:space="preserve">Law 14/2013 only specifies that renewal procedures are to be carried out through </w:t>
            </w:r>
            <w:r w:rsidRPr="008E781C">
              <w:rPr>
                <w:rFonts w:ascii="Century Gothic" w:hAnsi="Century Gothic"/>
                <w:b/>
                <w:bCs/>
                <w:sz w:val="18"/>
                <w:szCs w:val="18"/>
              </w:rPr>
              <w:t>electronic means</w:t>
            </w:r>
            <w:r w:rsidRPr="008E781C">
              <w:rPr>
                <w:rFonts w:ascii="Century Gothic" w:hAnsi="Century Gothic"/>
                <w:bCs/>
                <w:sz w:val="18"/>
                <w:szCs w:val="18"/>
              </w:rPr>
              <w:t xml:space="preserve"> </w:t>
            </w:r>
            <w:r w:rsidR="00777319" w:rsidRPr="008E781C">
              <w:rPr>
                <w:rFonts w:ascii="Century Gothic" w:hAnsi="Century Gothic"/>
                <w:bCs/>
                <w:sz w:val="18"/>
                <w:szCs w:val="18"/>
              </w:rPr>
              <w:t xml:space="preserve">(through the </w:t>
            </w:r>
            <w:r w:rsidR="00777319" w:rsidRPr="008E781C">
              <w:rPr>
                <w:rFonts w:ascii="Century Gothic" w:hAnsi="Century Gothic"/>
                <w:bCs/>
                <w:sz w:val="18"/>
                <w:szCs w:val="18"/>
              </w:rPr>
              <w:lastRenderedPageBreak/>
              <w:t>platform created by the MESS)</w:t>
            </w:r>
            <w:r w:rsidR="00777319" w:rsidRPr="008E781C">
              <w:rPr>
                <w:rFonts w:ascii="Century Gothic" w:hAnsi="Century Gothic"/>
                <w:bCs/>
                <w:sz w:val="18"/>
                <w:szCs w:val="18"/>
                <w:vertAlign w:val="superscript"/>
              </w:rPr>
              <w:footnoteReference w:id="225"/>
            </w:r>
            <w:r w:rsidR="00777319" w:rsidRPr="008E781C">
              <w:rPr>
                <w:rFonts w:ascii="Century Gothic" w:hAnsi="Century Gothic"/>
                <w:bCs/>
                <w:sz w:val="18"/>
                <w:szCs w:val="18"/>
              </w:rPr>
              <w:t xml:space="preserve"> </w:t>
            </w:r>
            <w:r w:rsidRPr="008E781C">
              <w:rPr>
                <w:rFonts w:ascii="Century Gothic" w:hAnsi="Century Gothic"/>
                <w:bCs/>
                <w:sz w:val="18"/>
                <w:szCs w:val="18"/>
              </w:rPr>
              <w:t xml:space="preserve">and that the </w:t>
            </w:r>
            <w:r w:rsidRPr="008E781C">
              <w:rPr>
                <w:rFonts w:ascii="Century Gothic" w:hAnsi="Century Gothic"/>
                <w:b/>
                <w:bCs/>
                <w:sz w:val="18"/>
                <w:szCs w:val="18"/>
              </w:rPr>
              <w:t>DGM may collect the necessary reports to decide on the maintenance of the conditions</w:t>
            </w:r>
            <w:r w:rsidRPr="008E781C">
              <w:rPr>
                <w:rFonts w:ascii="Century Gothic" w:hAnsi="Century Gothic"/>
                <w:bCs/>
                <w:sz w:val="18"/>
                <w:szCs w:val="18"/>
              </w:rPr>
              <w:t xml:space="preserve"> that generated the right (of residence and work granted by the authorisation).</w:t>
            </w:r>
            <w:r w:rsidRPr="008E781C">
              <w:rPr>
                <w:rStyle w:val="FootnoteReference"/>
                <w:rFonts w:ascii="Century Gothic" w:hAnsi="Century Gothic"/>
                <w:bCs/>
                <w:sz w:val="18"/>
                <w:szCs w:val="18"/>
              </w:rPr>
              <w:footnoteReference w:id="226"/>
            </w:r>
          </w:p>
          <w:p w14:paraId="3AB416AD" w14:textId="77777777" w:rsidR="00026FAB" w:rsidRPr="008E781C" w:rsidRDefault="00026FAB" w:rsidP="001F39E0">
            <w:pPr>
              <w:jc w:val="both"/>
              <w:rPr>
                <w:rFonts w:ascii="Century Gothic" w:hAnsi="Century Gothic"/>
                <w:bCs/>
                <w:sz w:val="18"/>
                <w:szCs w:val="18"/>
              </w:rPr>
            </w:pPr>
          </w:p>
          <w:p w14:paraId="29D6B4CE" w14:textId="7F674D87" w:rsidR="00026FAB" w:rsidRPr="008E781C" w:rsidRDefault="00026FAB" w:rsidP="001F39E0">
            <w:pPr>
              <w:jc w:val="both"/>
              <w:rPr>
                <w:rFonts w:ascii="Century Gothic" w:hAnsi="Century Gothic"/>
                <w:bCs/>
                <w:sz w:val="18"/>
                <w:szCs w:val="18"/>
              </w:rPr>
            </w:pPr>
            <w:r w:rsidRPr="008E781C">
              <w:rPr>
                <w:rFonts w:ascii="Century Gothic" w:hAnsi="Century Gothic"/>
                <w:bCs/>
                <w:sz w:val="18"/>
                <w:szCs w:val="18"/>
              </w:rPr>
              <w:t xml:space="preserve">The </w:t>
            </w:r>
            <w:r w:rsidRPr="008E781C">
              <w:rPr>
                <w:rFonts w:ascii="Century Gothic" w:hAnsi="Century Gothic"/>
                <w:b/>
                <w:bCs/>
                <w:sz w:val="18"/>
                <w:szCs w:val="18"/>
              </w:rPr>
              <w:t>application</w:t>
            </w:r>
            <w:r w:rsidRPr="008E781C">
              <w:rPr>
                <w:rFonts w:ascii="Century Gothic" w:hAnsi="Century Gothic"/>
                <w:bCs/>
                <w:sz w:val="18"/>
                <w:szCs w:val="18"/>
              </w:rPr>
              <w:t xml:space="preserve"> for renewal must be </w:t>
            </w:r>
            <w:r w:rsidRPr="008E781C">
              <w:rPr>
                <w:rFonts w:ascii="Century Gothic" w:hAnsi="Century Gothic"/>
                <w:b/>
                <w:bCs/>
                <w:sz w:val="18"/>
                <w:szCs w:val="18"/>
              </w:rPr>
              <w:t>filed</w:t>
            </w:r>
            <w:r w:rsidRPr="008E781C">
              <w:rPr>
                <w:rFonts w:ascii="Century Gothic" w:hAnsi="Century Gothic"/>
                <w:bCs/>
                <w:sz w:val="18"/>
                <w:szCs w:val="18"/>
              </w:rPr>
              <w:t xml:space="preserve"> within the period of validity of the existing residence authorisation or in the 90 days after this period of validity has expired.</w:t>
            </w:r>
            <w:r w:rsidRPr="008E781C">
              <w:rPr>
                <w:rStyle w:val="FootnoteReference"/>
                <w:rFonts w:ascii="Century Gothic" w:hAnsi="Century Gothic"/>
                <w:bCs/>
                <w:sz w:val="18"/>
                <w:szCs w:val="18"/>
              </w:rPr>
              <w:footnoteReference w:id="227"/>
            </w:r>
          </w:p>
          <w:p w14:paraId="2CE30107" w14:textId="77777777" w:rsidR="00026FAB" w:rsidRPr="008E781C" w:rsidRDefault="00026FAB" w:rsidP="001F39E0">
            <w:pPr>
              <w:jc w:val="both"/>
              <w:rPr>
                <w:rFonts w:ascii="Century Gothic" w:hAnsi="Century Gothic"/>
                <w:bCs/>
                <w:sz w:val="18"/>
                <w:szCs w:val="18"/>
              </w:rPr>
            </w:pPr>
          </w:p>
          <w:p w14:paraId="229B5829" w14:textId="6AAEA88B" w:rsidR="00026FAB" w:rsidRPr="008E781C" w:rsidRDefault="00026FAB" w:rsidP="00593496">
            <w:pPr>
              <w:jc w:val="both"/>
              <w:rPr>
                <w:rFonts w:ascii="Century Gothic" w:hAnsi="Century Gothic"/>
                <w:bCs/>
                <w:sz w:val="18"/>
                <w:szCs w:val="18"/>
              </w:rPr>
            </w:pPr>
            <w:r w:rsidRPr="008E781C">
              <w:rPr>
                <w:rFonts w:ascii="Century Gothic" w:hAnsi="Century Gothic"/>
                <w:bCs/>
                <w:sz w:val="18"/>
                <w:szCs w:val="18"/>
              </w:rPr>
              <w:t xml:space="preserve">For the renewal of the investors’ residence authorisation it is necessary that </w:t>
            </w:r>
            <w:r w:rsidRPr="008E781C">
              <w:rPr>
                <w:rFonts w:ascii="Century Gothic" w:hAnsi="Century Gothic"/>
                <w:b/>
                <w:bCs/>
                <w:sz w:val="18"/>
                <w:szCs w:val="18"/>
              </w:rPr>
              <w:t xml:space="preserve">the legal conditions that justified the issuance of the residence authorisation the first time continue to </w:t>
            </w:r>
            <w:r w:rsidR="00C86FCB" w:rsidRPr="008E781C">
              <w:rPr>
                <w:rFonts w:ascii="Century Gothic" w:hAnsi="Century Gothic"/>
                <w:b/>
                <w:bCs/>
                <w:sz w:val="18"/>
                <w:szCs w:val="18"/>
              </w:rPr>
              <w:t>exist</w:t>
            </w:r>
            <w:r w:rsidRPr="008E781C">
              <w:rPr>
                <w:rFonts w:ascii="Century Gothic" w:hAnsi="Century Gothic"/>
                <w:b/>
                <w:bCs/>
                <w:sz w:val="18"/>
                <w:szCs w:val="18"/>
              </w:rPr>
              <w:t>.</w:t>
            </w:r>
            <w:r w:rsidRPr="008E781C">
              <w:rPr>
                <w:rStyle w:val="FootnoteReference"/>
                <w:rFonts w:ascii="Century Gothic" w:hAnsi="Century Gothic"/>
                <w:bCs/>
                <w:sz w:val="18"/>
                <w:szCs w:val="18"/>
              </w:rPr>
              <w:footnoteReference w:id="228"/>
            </w:r>
            <w:r w:rsidRPr="008E781C">
              <w:rPr>
                <w:rFonts w:ascii="Century Gothic" w:hAnsi="Century Gothic"/>
                <w:bCs/>
                <w:sz w:val="18"/>
                <w:szCs w:val="18"/>
              </w:rPr>
              <w:t xml:space="preserve"> For such purposes, the DGM may adopt the necessary measures to check that such conditions are still fulfilled</w:t>
            </w:r>
            <w:r w:rsidR="004E6663" w:rsidRPr="008E781C">
              <w:rPr>
                <w:rFonts w:ascii="Century Gothic" w:hAnsi="Century Gothic"/>
                <w:bCs/>
                <w:sz w:val="18"/>
                <w:szCs w:val="18"/>
              </w:rPr>
              <w:t>.</w:t>
            </w:r>
            <w:r w:rsidRPr="008E781C">
              <w:rPr>
                <w:rStyle w:val="FootnoteReference"/>
                <w:rFonts w:ascii="Century Gothic" w:hAnsi="Century Gothic"/>
                <w:bCs/>
                <w:sz w:val="18"/>
                <w:szCs w:val="18"/>
              </w:rPr>
              <w:footnoteReference w:id="229"/>
            </w:r>
            <w:r w:rsidRPr="008E781C">
              <w:rPr>
                <w:rFonts w:ascii="Century Gothic" w:hAnsi="Century Gothic"/>
                <w:bCs/>
                <w:sz w:val="18"/>
                <w:szCs w:val="18"/>
              </w:rPr>
              <w:t xml:space="preserve"> </w:t>
            </w:r>
            <w:r w:rsidR="004E6663" w:rsidRPr="008E781C">
              <w:rPr>
                <w:rFonts w:ascii="Century Gothic" w:hAnsi="Century Gothic"/>
                <w:bCs/>
                <w:sz w:val="18"/>
                <w:szCs w:val="18"/>
              </w:rPr>
              <w:t>According to the General Secretariat on Migration,</w:t>
            </w:r>
            <w:r w:rsidR="004E6663" w:rsidRPr="008E781C">
              <w:rPr>
                <w:rStyle w:val="FootnoteReference"/>
                <w:rFonts w:ascii="Century Gothic" w:hAnsi="Century Gothic"/>
                <w:bCs/>
                <w:sz w:val="18"/>
                <w:szCs w:val="18"/>
              </w:rPr>
              <w:footnoteReference w:id="230"/>
            </w:r>
            <w:r w:rsidR="004E6663" w:rsidRPr="008E781C">
              <w:rPr>
                <w:rFonts w:ascii="Century Gothic" w:hAnsi="Century Gothic"/>
                <w:bCs/>
                <w:sz w:val="18"/>
                <w:szCs w:val="18"/>
              </w:rPr>
              <w:t xml:space="preserve"> applicant</w:t>
            </w:r>
            <w:r w:rsidR="00593496" w:rsidRPr="008E781C">
              <w:rPr>
                <w:rFonts w:ascii="Century Gothic" w:hAnsi="Century Gothic"/>
                <w:bCs/>
                <w:sz w:val="18"/>
                <w:szCs w:val="18"/>
              </w:rPr>
              <w:t>s</w:t>
            </w:r>
            <w:r w:rsidR="004E6663" w:rsidRPr="008E781C">
              <w:rPr>
                <w:rFonts w:ascii="Century Gothic" w:hAnsi="Century Gothic"/>
                <w:bCs/>
                <w:sz w:val="18"/>
                <w:szCs w:val="18"/>
              </w:rPr>
              <w:t xml:space="preserve"> must </w:t>
            </w:r>
            <w:r w:rsidR="00593496" w:rsidRPr="008E781C">
              <w:rPr>
                <w:rFonts w:ascii="Century Gothic" w:hAnsi="Century Gothic"/>
                <w:bCs/>
                <w:sz w:val="18"/>
                <w:szCs w:val="18"/>
              </w:rPr>
              <w:t>re</w:t>
            </w:r>
            <w:r w:rsidR="004E6663" w:rsidRPr="008E781C">
              <w:rPr>
                <w:rFonts w:ascii="Century Gothic" w:hAnsi="Century Gothic"/>
                <w:bCs/>
                <w:sz w:val="18"/>
                <w:szCs w:val="18"/>
              </w:rPr>
              <w:t>submit all the same documentation submitted with the initial application for the investors’ residence authorisation.</w:t>
            </w:r>
            <w:r w:rsidR="00593496" w:rsidRPr="008E781C">
              <w:rPr>
                <w:rFonts w:ascii="Century Gothic" w:hAnsi="Century Gothic"/>
                <w:bCs/>
                <w:sz w:val="18"/>
                <w:szCs w:val="18"/>
              </w:rPr>
              <w:t xml:space="preserve"> Therefore</w:t>
            </w:r>
            <w:r w:rsidRPr="008E781C">
              <w:rPr>
                <w:rFonts w:ascii="Century Gothic" w:hAnsi="Century Gothic"/>
                <w:bCs/>
                <w:sz w:val="18"/>
                <w:szCs w:val="18"/>
              </w:rPr>
              <w:t xml:space="preserve">, it can </w:t>
            </w:r>
            <w:r w:rsidRPr="008E781C">
              <w:rPr>
                <w:rFonts w:ascii="Century Gothic" w:hAnsi="Century Gothic"/>
                <w:bCs/>
                <w:sz w:val="18"/>
                <w:szCs w:val="18"/>
              </w:rPr>
              <w:lastRenderedPageBreak/>
              <w:t xml:space="preserve">be concluded that the </w:t>
            </w:r>
            <w:r w:rsidRPr="008E781C">
              <w:rPr>
                <w:rFonts w:ascii="Century Gothic" w:hAnsi="Century Gothic"/>
                <w:b/>
                <w:bCs/>
                <w:sz w:val="18"/>
                <w:szCs w:val="18"/>
              </w:rPr>
              <w:t>renewal procedure follows the same procedural steps to grant the first-time application</w:t>
            </w:r>
            <w:r w:rsidRPr="008E781C">
              <w:rPr>
                <w:rFonts w:ascii="Century Gothic" w:hAnsi="Century Gothic"/>
                <w:bCs/>
                <w:sz w:val="18"/>
                <w:szCs w:val="18"/>
              </w:rPr>
              <w:t xml:space="preserve"> (see Section II.1.1 of this Report).</w:t>
            </w:r>
          </w:p>
          <w:p w14:paraId="3C91E3C7" w14:textId="77777777" w:rsidR="00026FAB" w:rsidRPr="008E781C" w:rsidRDefault="00026FAB" w:rsidP="001F39E0">
            <w:pPr>
              <w:jc w:val="both"/>
              <w:rPr>
                <w:rFonts w:ascii="Century Gothic" w:hAnsi="Century Gothic"/>
                <w:bCs/>
                <w:sz w:val="18"/>
                <w:szCs w:val="18"/>
              </w:rPr>
            </w:pPr>
          </w:p>
          <w:p w14:paraId="7852A9F8" w14:textId="08197BF4" w:rsidR="00026FAB" w:rsidRPr="008E781C" w:rsidRDefault="00026FAB" w:rsidP="001F39E0">
            <w:pPr>
              <w:jc w:val="both"/>
              <w:rPr>
                <w:rFonts w:ascii="Century Gothic" w:hAnsi="Century Gothic"/>
                <w:bCs/>
                <w:sz w:val="18"/>
                <w:szCs w:val="18"/>
              </w:rPr>
            </w:pPr>
            <w:r w:rsidRPr="008E781C">
              <w:rPr>
                <w:rFonts w:ascii="Century Gothic" w:hAnsi="Century Gothic"/>
                <w:bCs/>
                <w:sz w:val="18"/>
                <w:szCs w:val="18"/>
              </w:rPr>
              <w:t xml:space="preserve">If the </w:t>
            </w:r>
            <w:r w:rsidRPr="008E781C">
              <w:rPr>
                <w:rFonts w:ascii="Century Gothic" w:hAnsi="Century Gothic"/>
                <w:b/>
                <w:bCs/>
                <w:sz w:val="18"/>
                <w:szCs w:val="18"/>
              </w:rPr>
              <w:t>renewal is granted</w:t>
            </w:r>
            <w:r w:rsidRPr="008E781C">
              <w:rPr>
                <w:rFonts w:ascii="Century Gothic" w:hAnsi="Century Gothic"/>
                <w:bCs/>
                <w:sz w:val="18"/>
                <w:szCs w:val="18"/>
              </w:rPr>
              <w:t xml:space="preserve">, the </w:t>
            </w:r>
            <w:r w:rsidRPr="008E781C">
              <w:rPr>
                <w:rFonts w:ascii="Century Gothic" w:hAnsi="Century Gothic"/>
                <w:b/>
                <w:bCs/>
                <w:sz w:val="18"/>
                <w:szCs w:val="18"/>
              </w:rPr>
              <w:t>duration</w:t>
            </w:r>
            <w:r w:rsidRPr="008E781C">
              <w:rPr>
                <w:rFonts w:ascii="Century Gothic" w:hAnsi="Century Gothic"/>
                <w:bCs/>
                <w:sz w:val="18"/>
                <w:szCs w:val="18"/>
              </w:rPr>
              <w:t xml:space="preserve"> of the </w:t>
            </w:r>
            <w:r w:rsidRPr="008E781C">
              <w:rPr>
                <w:rFonts w:ascii="Century Gothic" w:hAnsi="Century Gothic"/>
                <w:b/>
                <w:bCs/>
                <w:sz w:val="18"/>
                <w:szCs w:val="18"/>
              </w:rPr>
              <w:t>new</w:t>
            </w:r>
            <w:r w:rsidRPr="008E781C">
              <w:rPr>
                <w:rFonts w:ascii="Century Gothic" w:hAnsi="Century Gothic"/>
                <w:bCs/>
                <w:sz w:val="18"/>
                <w:szCs w:val="18"/>
              </w:rPr>
              <w:t xml:space="preserve"> residence </w:t>
            </w:r>
            <w:r w:rsidRPr="008E781C">
              <w:rPr>
                <w:rFonts w:ascii="Century Gothic" w:hAnsi="Century Gothic"/>
                <w:b/>
                <w:bCs/>
                <w:sz w:val="18"/>
                <w:szCs w:val="18"/>
              </w:rPr>
              <w:t>authorisation</w:t>
            </w:r>
            <w:r w:rsidRPr="008E781C">
              <w:rPr>
                <w:rFonts w:ascii="Century Gothic" w:hAnsi="Century Gothic"/>
                <w:bCs/>
                <w:sz w:val="18"/>
                <w:szCs w:val="18"/>
              </w:rPr>
              <w:t xml:space="preserve"> is of </w:t>
            </w:r>
            <w:r w:rsidRPr="008E781C">
              <w:rPr>
                <w:rFonts w:ascii="Century Gothic" w:hAnsi="Century Gothic"/>
                <w:b/>
                <w:bCs/>
                <w:sz w:val="18"/>
                <w:szCs w:val="18"/>
              </w:rPr>
              <w:t>five years</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31"/>
            </w:r>
            <w:r w:rsidR="00593496" w:rsidRPr="008E781C">
              <w:rPr>
                <w:rFonts w:ascii="Century Gothic" w:hAnsi="Century Gothic"/>
                <w:bCs/>
                <w:sz w:val="18"/>
                <w:szCs w:val="18"/>
              </w:rPr>
              <w:t xml:space="preserve"> </w:t>
            </w:r>
            <w:r w:rsidRPr="008E781C">
              <w:rPr>
                <w:rFonts w:ascii="Century Gothic" w:hAnsi="Century Gothic"/>
                <w:bCs/>
                <w:sz w:val="18"/>
                <w:szCs w:val="18"/>
              </w:rPr>
              <w:t xml:space="preserve">The application for a renewal of the investors’ residence authorisation </w:t>
            </w:r>
            <w:r w:rsidRPr="008E781C">
              <w:rPr>
                <w:rFonts w:ascii="Century Gothic" w:hAnsi="Century Gothic"/>
                <w:b/>
                <w:bCs/>
                <w:sz w:val="18"/>
                <w:szCs w:val="18"/>
              </w:rPr>
              <w:t xml:space="preserve">extends the validity of the existing authorisation until the renewal </w:t>
            </w:r>
            <w:r w:rsidR="00C86FCB" w:rsidRPr="008E781C">
              <w:rPr>
                <w:rFonts w:ascii="Century Gothic" w:hAnsi="Century Gothic"/>
                <w:b/>
                <w:bCs/>
                <w:sz w:val="18"/>
                <w:szCs w:val="18"/>
              </w:rPr>
              <w:t>procedures are completed</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32"/>
            </w:r>
          </w:p>
          <w:p w14:paraId="164F89E7" w14:textId="77777777" w:rsidR="00026FAB" w:rsidRPr="008E781C" w:rsidRDefault="00026FAB" w:rsidP="001F39E0">
            <w:pPr>
              <w:jc w:val="both"/>
              <w:rPr>
                <w:rFonts w:ascii="Century Gothic" w:hAnsi="Century Gothic"/>
                <w:bCs/>
                <w:sz w:val="18"/>
                <w:szCs w:val="18"/>
              </w:rPr>
            </w:pPr>
          </w:p>
          <w:p w14:paraId="78BBC226" w14:textId="2A2E143D" w:rsidR="00446E8A" w:rsidRPr="008E781C" w:rsidDel="005C355D" w:rsidRDefault="00026FAB" w:rsidP="004E6663">
            <w:pPr>
              <w:jc w:val="both"/>
              <w:rPr>
                <w:rFonts w:ascii="Century Gothic" w:hAnsi="Century Gothic"/>
                <w:bCs/>
                <w:sz w:val="18"/>
                <w:szCs w:val="18"/>
              </w:rPr>
            </w:pPr>
            <w:r w:rsidRPr="008E781C">
              <w:rPr>
                <w:rFonts w:ascii="Century Gothic" w:hAnsi="Century Gothic"/>
                <w:bCs/>
                <w:sz w:val="18"/>
                <w:szCs w:val="18"/>
              </w:rPr>
              <w:t>The renewal of the investors’ residence authorisation is</w:t>
            </w:r>
            <w:r w:rsidR="00E77018" w:rsidRPr="008E781C">
              <w:rPr>
                <w:rFonts w:ascii="Century Gothic" w:hAnsi="Century Gothic"/>
                <w:bCs/>
                <w:sz w:val="18"/>
                <w:szCs w:val="18"/>
              </w:rPr>
              <w:t xml:space="preserve"> also</w:t>
            </w:r>
            <w:r w:rsidRPr="008E781C">
              <w:rPr>
                <w:rFonts w:ascii="Century Gothic" w:hAnsi="Century Gothic"/>
                <w:b/>
                <w:bCs/>
                <w:sz w:val="18"/>
                <w:szCs w:val="18"/>
              </w:rPr>
              <w:t xml:space="preserve"> possible</w:t>
            </w:r>
            <w:r w:rsidR="00E77018" w:rsidRPr="008E781C">
              <w:rPr>
                <w:rFonts w:ascii="Century Gothic" w:hAnsi="Century Gothic"/>
                <w:b/>
                <w:bCs/>
                <w:sz w:val="18"/>
                <w:szCs w:val="18"/>
              </w:rPr>
              <w:t xml:space="preserve"> even</w:t>
            </w:r>
            <w:r w:rsidRPr="008E781C">
              <w:rPr>
                <w:rFonts w:ascii="Century Gothic" w:hAnsi="Century Gothic"/>
                <w:b/>
                <w:bCs/>
                <w:sz w:val="18"/>
                <w:szCs w:val="18"/>
              </w:rPr>
              <w:t xml:space="preserve"> if the investor has been absent from the Spanish territory for more than six months a year</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33"/>
            </w:r>
            <w:r w:rsidR="00E77018" w:rsidRPr="008E781C">
              <w:rPr>
                <w:rFonts w:ascii="Century Gothic" w:hAnsi="Century Gothic"/>
                <w:bCs/>
                <w:sz w:val="18"/>
                <w:szCs w:val="18"/>
              </w:rPr>
              <w:t xml:space="preserve"> This means, however, that the </w:t>
            </w:r>
            <w:r w:rsidR="00593496" w:rsidRPr="008E781C">
              <w:rPr>
                <w:rFonts w:ascii="Century Gothic" w:hAnsi="Century Gothic"/>
                <w:bCs/>
                <w:sz w:val="18"/>
                <w:szCs w:val="18"/>
              </w:rPr>
              <w:t xml:space="preserve">for </w:t>
            </w:r>
            <w:r w:rsidR="00E77018" w:rsidRPr="008E781C">
              <w:rPr>
                <w:rFonts w:ascii="Century Gothic" w:hAnsi="Century Gothic"/>
                <w:bCs/>
                <w:sz w:val="18"/>
                <w:szCs w:val="18"/>
              </w:rPr>
              <w:t xml:space="preserve">rest of the time for which the authorisation has been issued, the applicant must be </w:t>
            </w:r>
            <w:r w:rsidR="00E77018" w:rsidRPr="008E781C">
              <w:rPr>
                <w:rFonts w:ascii="Century Gothic" w:hAnsi="Century Gothic"/>
                <w:b/>
                <w:bCs/>
                <w:sz w:val="18"/>
                <w:szCs w:val="18"/>
              </w:rPr>
              <w:t>physically in Spain</w:t>
            </w:r>
            <w:r w:rsidR="00E77018" w:rsidRPr="008E781C">
              <w:rPr>
                <w:rFonts w:ascii="Century Gothic" w:hAnsi="Century Gothic"/>
                <w:bCs/>
                <w:sz w:val="18"/>
                <w:szCs w:val="18"/>
              </w:rPr>
              <w:t>.</w:t>
            </w:r>
            <w:r w:rsidR="00593496" w:rsidRPr="008E781C">
              <w:rPr>
                <w:rFonts w:ascii="Century Gothic" w:hAnsi="Century Gothic"/>
                <w:bCs/>
                <w:sz w:val="18"/>
                <w:szCs w:val="18"/>
              </w:rPr>
              <w:t xml:space="preserve"> </w:t>
            </w:r>
            <w:r w:rsidR="00A80D3C" w:rsidRPr="008E781C">
              <w:rPr>
                <w:rFonts w:ascii="Century Gothic" w:hAnsi="Century Gothic"/>
                <w:bCs/>
                <w:sz w:val="18"/>
                <w:szCs w:val="18"/>
              </w:rPr>
              <w:t>This possibly creates a loophole for investors who invest in real estate</w:t>
            </w:r>
            <w:r w:rsidR="004E6663" w:rsidRPr="008E781C">
              <w:rPr>
                <w:rFonts w:ascii="Century Gothic" w:hAnsi="Century Gothic"/>
                <w:bCs/>
                <w:sz w:val="18"/>
                <w:szCs w:val="18"/>
              </w:rPr>
              <w:t>, when the authorisation is just issued for six months if the purchase has not been formalised at the time of filing the application but a pre-contract exists.</w:t>
            </w:r>
            <w:r w:rsidR="004E6663" w:rsidRPr="008E781C">
              <w:rPr>
                <w:rStyle w:val="FootnoteReference"/>
                <w:rFonts w:ascii="Century Gothic" w:hAnsi="Century Gothic"/>
                <w:bCs/>
                <w:sz w:val="18"/>
                <w:szCs w:val="18"/>
              </w:rPr>
              <w:footnoteReference w:id="234"/>
            </w:r>
            <w:r w:rsidR="00777319" w:rsidRPr="008E781C">
              <w:rPr>
                <w:rFonts w:ascii="Century Gothic" w:hAnsi="Century Gothic"/>
                <w:bCs/>
                <w:sz w:val="18"/>
                <w:szCs w:val="18"/>
              </w:rPr>
              <w:t xml:space="preserve"> In this case, the renewal can take place without the investor physically being in Spain.</w:t>
            </w:r>
            <w:r w:rsidR="00777319" w:rsidRPr="008E781C">
              <w:rPr>
                <w:rStyle w:val="FootnoteReference"/>
                <w:rFonts w:ascii="Century Gothic" w:hAnsi="Century Gothic"/>
                <w:bCs/>
                <w:sz w:val="18"/>
                <w:szCs w:val="18"/>
              </w:rPr>
              <w:footnoteReference w:id="235"/>
            </w:r>
          </w:p>
        </w:tc>
      </w:tr>
    </w:tbl>
    <w:p w14:paraId="05854D34" w14:textId="5501CC68" w:rsidR="00B311A7" w:rsidRPr="008E781C" w:rsidRDefault="00B311A7" w:rsidP="00E25ACA">
      <w:pPr>
        <w:pStyle w:val="MH1"/>
        <w:pageBreakBefore w:val="0"/>
        <w:spacing w:after="0"/>
        <w:ind w:left="431" w:hanging="431"/>
      </w:pPr>
      <w:bookmarkStart w:id="25" w:name="_Toc496025537"/>
      <w:bookmarkStart w:id="26" w:name="_Toc520923930"/>
      <w:bookmarkEnd w:id="24"/>
      <w:r w:rsidRPr="008E781C">
        <w:lastRenderedPageBreak/>
        <w:t>Due diligence criteria and security considerations</w:t>
      </w:r>
      <w:bookmarkEnd w:id="25"/>
      <w:bookmarkEnd w:id="26"/>
    </w:p>
    <w:p w14:paraId="4C88DBA4" w14:textId="77777777" w:rsidR="00523824" w:rsidRPr="008E781C" w:rsidRDefault="00523824" w:rsidP="00F508DE">
      <w:pPr>
        <w:jc w:val="both"/>
        <w:rPr>
          <w:bCs/>
          <w:i/>
          <w:color w:val="FF0000"/>
          <w:sz w:val="22"/>
          <w:szCs w:val="22"/>
        </w:rPr>
      </w:pPr>
      <w:bookmarkStart w:id="27" w:name="_Hlk496123712"/>
      <w:bookmarkStart w:id="28" w:name="_Hlk49368816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2967"/>
        <w:gridCol w:w="4821"/>
        <w:gridCol w:w="4109"/>
        <w:gridCol w:w="2041"/>
      </w:tblGrid>
      <w:tr w:rsidR="00B311A7" w:rsidRPr="008E781C" w14:paraId="141DF684" w14:textId="77777777" w:rsidTr="00E25ACA">
        <w:trPr>
          <w:tblHeader/>
        </w:trPr>
        <w:tc>
          <w:tcPr>
            <w:tcW w:w="1064" w:type="pct"/>
            <w:shd w:val="clear" w:color="auto" w:fill="95B3D7" w:themeFill="accent1" w:themeFillTint="99"/>
            <w:vAlign w:val="center"/>
          </w:tcPr>
          <w:bookmarkEnd w:id="27"/>
          <w:p w14:paraId="2C236B7A" w14:textId="11B3F3D9" w:rsidR="00B311A7" w:rsidRPr="008E781C" w:rsidRDefault="00B311A7" w:rsidP="00E25ACA">
            <w:pPr>
              <w:jc w:val="center"/>
              <w:rPr>
                <w:rFonts w:ascii="Century Gothic" w:hAnsi="Century Gothic"/>
                <w:bCs/>
                <w:i/>
                <w:color w:val="FF0000"/>
                <w:sz w:val="18"/>
                <w:szCs w:val="18"/>
              </w:rPr>
            </w:pPr>
            <w:r w:rsidRPr="008E781C">
              <w:rPr>
                <w:rFonts w:ascii="Century Gothic" w:hAnsi="Century Gothic"/>
                <w:b/>
                <w:bCs/>
                <w:sz w:val="18"/>
                <w:szCs w:val="18"/>
              </w:rPr>
              <w:t>Due diligence and security considerations</w:t>
            </w:r>
          </w:p>
        </w:tc>
        <w:tc>
          <w:tcPr>
            <w:tcW w:w="1729" w:type="pct"/>
            <w:shd w:val="clear" w:color="auto" w:fill="95B3D7" w:themeFill="accent1" w:themeFillTint="99"/>
            <w:vAlign w:val="center"/>
          </w:tcPr>
          <w:p w14:paraId="1F80563F" w14:textId="3F9E7AD0" w:rsidR="00B311A7" w:rsidRPr="008E781C" w:rsidRDefault="00B311A7" w:rsidP="00E25ACA">
            <w:pPr>
              <w:jc w:val="center"/>
              <w:rPr>
                <w:rFonts w:ascii="Century Gothic" w:hAnsi="Century Gothic"/>
                <w:i/>
                <w:color w:val="FF0000"/>
                <w:sz w:val="18"/>
                <w:szCs w:val="18"/>
              </w:rPr>
            </w:pPr>
            <w:r w:rsidRPr="008E781C">
              <w:rPr>
                <w:rFonts w:ascii="Century Gothic" w:hAnsi="Century Gothic"/>
                <w:b/>
                <w:bCs/>
                <w:sz w:val="18"/>
                <w:szCs w:val="18"/>
              </w:rPr>
              <w:t>Procedure to verify due diligence and security considerations</w:t>
            </w:r>
          </w:p>
        </w:tc>
        <w:tc>
          <w:tcPr>
            <w:tcW w:w="1474" w:type="pct"/>
            <w:shd w:val="clear" w:color="auto" w:fill="95B3D7" w:themeFill="accent1" w:themeFillTint="99"/>
            <w:vAlign w:val="center"/>
          </w:tcPr>
          <w:p w14:paraId="1E5CFAB0" w14:textId="3DDA5322" w:rsidR="00B311A7" w:rsidRPr="008E781C" w:rsidRDefault="00B311A7" w:rsidP="00E25ACA">
            <w:pPr>
              <w:jc w:val="center"/>
              <w:rPr>
                <w:rFonts w:ascii="Century Gothic" w:hAnsi="Century Gothic"/>
                <w:b/>
                <w:bCs/>
                <w:sz w:val="18"/>
                <w:szCs w:val="18"/>
              </w:rPr>
            </w:pPr>
            <w:r w:rsidRPr="008E781C">
              <w:rPr>
                <w:rFonts w:ascii="Century Gothic" w:hAnsi="Century Gothic"/>
                <w:b/>
                <w:bCs/>
                <w:sz w:val="18"/>
                <w:szCs w:val="18"/>
              </w:rPr>
              <w:t>Competent authorities</w:t>
            </w:r>
            <w:r w:rsidR="00B65D4C" w:rsidRPr="008E781C">
              <w:rPr>
                <w:rFonts w:ascii="Century Gothic" w:hAnsi="Century Gothic"/>
                <w:b/>
                <w:bCs/>
                <w:sz w:val="18"/>
                <w:szCs w:val="18"/>
              </w:rPr>
              <w:t xml:space="preserve"> and non-public bodies</w:t>
            </w:r>
          </w:p>
        </w:tc>
        <w:tc>
          <w:tcPr>
            <w:tcW w:w="732" w:type="pct"/>
            <w:shd w:val="clear" w:color="auto" w:fill="95B3D7" w:themeFill="accent1" w:themeFillTint="99"/>
            <w:vAlign w:val="center"/>
          </w:tcPr>
          <w:p w14:paraId="12F9CC44" w14:textId="43F5A3FA" w:rsidR="00B311A7" w:rsidRPr="008E781C" w:rsidRDefault="00B311A7" w:rsidP="00E25ACA">
            <w:pPr>
              <w:jc w:val="center"/>
              <w:rPr>
                <w:rFonts w:ascii="Century Gothic" w:hAnsi="Century Gothic"/>
                <w:b/>
                <w:bCs/>
                <w:sz w:val="18"/>
                <w:szCs w:val="18"/>
              </w:rPr>
            </w:pPr>
            <w:r w:rsidRPr="008E781C">
              <w:rPr>
                <w:rFonts w:ascii="Century Gothic" w:hAnsi="Century Gothic"/>
                <w:b/>
                <w:bCs/>
                <w:sz w:val="18"/>
                <w:szCs w:val="18"/>
              </w:rPr>
              <w:t>Ex-post checks</w:t>
            </w:r>
          </w:p>
        </w:tc>
      </w:tr>
      <w:tr w:rsidR="00842F1F" w:rsidRPr="008E781C" w14:paraId="570030A9" w14:textId="77777777" w:rsidTr="00E25ACA">
        <w:tc>
          <w:tcPr>
            <w:tcW w:w="1064" w:type="pct"/>
            <w:shd w:val="clear" w:color="auto" w:fill="D9D9D9" w:themeFill="background1" w:themeFillShade="D9"/>
          </w:tcPr>
          <w:p w14:paraId="79889D9F" w14:textId="2D6FDE58" w:rsidR="00842F1F" w:rsidRPr="008E781C" w:rsidRDefault="00842F1F" w:rsidP="004E6663">
            <w:pPr>
              <w:jc w:val="both"/>
              <w:rPr>
                <w:rFonts w:ascii="Century Gothic" w:hAnsi="Century Gothic"/>
                <w:b/>
                <w:bCs/>
                <w:sz w:val="18"/>
                <w:szCs w:val="18"/>
              </w:rPr>
            </w:pPr>
            <w:r w:rsidRPr="008E781C">
              <w:rPr>
                <w:rFonts w:ascii="Century Gothic" w:hAnsi="Century Gothic"/>
                <w:b/>
                <w:bCs/>
                <w:sz w:val="18"/>
                <w:szCs w:val="18"/>
              </w:rPr>
              <w:t>Security checks on the applicant’s background</w:t>
            </w:r>
          </w:p>
          <w:p w14:paraId="37B1997B" w14:textId="754785D6"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t xml:space="preserve">To obtain an </w:t>
            </w:r>
            <w:r w:rsidRPr="008E781C">
              <w:rPr>
                <w:rFonts w:ascii="Century Gothic" w:hAnsi="Century Gothic"/>
                <w:b/>
                <w:bCs/>
                <w:sz w:val="18"/>
                <w:szCs w:val="18"/>
              </w:rPr>
              <w:t>investors’ residence visa</w:t>
            </w:r>
            <w:r w:rsidRPr="008E781C">
              <w:rPr>
                <w:rFonts w:ascii="Century Gothic" w:hAnsi="Century Gothic"/>
                <w:bCs/>
                <w:sz w:val="18"/>
                <w:szCs w:val="18"/>
              </w:rPr>
              <w:t xml:space="preserve"> the entry requirements set in Regulations 810/2009 and 562/2006 </w:t>
            </w:r>
            <w:r w:rsidR="00F508DE" w:rsidRPr="008E781C">
              <w:rPr>
                <w:rFonts w:ascii="Century Gothic" w:hAnsi="Century Gothic"/>
                <w:bCs/>
                <w:sz w:val="18"/>
                <w:szCs w:val="18"/>
              </w:rPr>
              <w:t>must</w:t>
            </w:r>
            <w:r w:rsidRPr="008E781C">
              <w:rPr>
                <w:rFonts w:ascii="Century Gothic" w:hAnsi="Century Gothic"/>
                <w:bCs/>
                <w:sz w:val="18"/>
                <w:szCs w:val="18"/>
              </w:rPr>
              <w:t xml:space="preserve"> be met.</w:t>
            </w:r>
            <w:r w:rsidRPr="008E781C">
              <w:rPr>
                <w:rStyle w:val="FootnoteReference"/>
                <w:rFonts w:ascii="Century Gothic" w:hAnsi="Century Gothic"/>
                <w:bCs/>
                <w:sz w:val="18"/>
                <w:szCs w:val="18"/>
              </w:rPr>
              <w:footnoteReference w:id="236"/>
            </w:r>
            <w:r w:rsidRPr="008E781C">
              <w:rPr>
                <w:rFonts w:ascii="Century Gothic" w:hAnsi="Century Gothic"/>
                <w:bCs/>
                <w:sz w:val="18"/>
                <w:szCs w:val="18"/>
              </w:rPr>
              <w:t xml:space="preserve"> Among these requirements the applicant must not:</w:t>
            </w:r>
          </w:p>
          <w:p w14:paraId="78440E93" w14:textId="47F0355A" w:rsidR="00842F1F" w:rsidRPr="008E781C" w:rsidRDefault="00842F1F" w:rsidP="003F4746">
            <w:pPr>
              <w:pStyle w:val="ListParagraph"/>
              <w:numPr>
                <w:ilvl w:val="0"/>
                <w:numId w:val="9"/>
              </w:numPr>
              <w:ind w:left="308" w:hanging="284"/>
              <w:contextualSpacing w:val="0"/>
              <w:rPr>
                <w:rFonts w:ascii="Century Gothic" w:hAnsi="Century Gothic"/>
                <w:bCs/>
                <w:sz w:val="18"/>
                <w:szCs w:val="18"/>
              </w:rPr>
            </w:pPr>
            <w:r w:rsidRPr="008E781C">
              <w:rPr>
                <w:rFonts w:ascii="Century Gothic" w:hAnsi="Century Gothic"/>
                <w:bCs/>
                <w:sz w:val="18"/>
                <w:szCs w:val="18"/>
              </w:rPr>
              <w:t xml:space="preserve">represent a threat to public health, national security or the international relations of Spain or of other States with which Spain has an agreement </w:t>
            </w:r>
            <w:r w:rsidR="00F508DE" w:rsidRPr="008E781C">
              <w:rPr>
                <w:rFonts w:ascii="Century Gothic" w:hAnsi="Century Gothic"/>
                <w:bCs/>
                <w:sz w:val="18"/>
                <w:szCs w:val="18"/>
              </w:rPr>
              <w:t xml:space="preserve">in </w:t>
            </w:r>
            <w:r w:rsidRPr="008E781C">
              <w:rPr>
                <w:rFonts w:ascii="Century Gothic" w:hAnsi="Century Gothic"/>
                <w:bCs/>
                <w:sz w:val="18"/>
                <w:szCs w:val="18"/>
              </w:rPr>
              <w:t>that regard.</w:t>
            </w:r>
            <w:r w:rsidRPr="008E781C">
              <w:rPr>
                <w:rFonts w:ascii="Century Gothic" w:hAnsi="Century Gothic"/>
                <w:bCs/>
                <w:sz w:val="18"/>
                <w:szCs w:val="18"/>
                <w:vertAlign w:val="superscript"/>
              </w:rPr>
              <w:footnoteReference w:id="237"/>
            </w:r>
          </w:p>
          <w:p w14:paraId="1F670C72" w14:textId="076D35E7" w:rsidR="00842F1F" w:rsidRPr="008E781C" w:rsidRDefault="00842F1F" w:rsidP="003F4746">
            <w:pPr>
              <w:pStyle w:val="ListParagraph"/>
              <w:numPr>
                <w:ilvl w:val="0"/>
                <w:numId w:val="9"/>
              </w:numPr>
              <w:ind w:left="308" w:hanging="284"/>
              <w:contextualSpacing w:val="0"/>
              <w:rPr>
                <w:rFonts w:ascii="Century Gothic" w:hAnsi="Century Gothic"/>
                <w:bCs/>
                <w:sz w:val="18"/>
                <w:szCs w:val="18"/>
              </w:rPr>
            </w:pPr>
            <w:r w:rsidRPr="008E781C">
              <w:rPr>
                <w:rFonts w:ascii="Century Gothic" w:hAnsi="Century Gothic"/>
                <w:bCs/>
                <w:sz w:val="18"/>
                <w:szCs w:val="18"/>
              </w:rPr>
              <w:t xml:space="preserve">not be a person for whom an </w:t>
            </w:r>
            <w:r w:rsidRPr="008E781C">
              <w:rPr>
                <w:rFonts w:ascii="Century Gothic" w:hAnsi="Century Gothic"/>
                <w:b/>
                <w:bCs/>
                <w:sz w:val="18"/>
                <w:szCs w:val="18"/>
              </w:rPr>
              <w:t xml:space="preserve">alert </w:t>
            </w:r>
            <w:r w:rsidRPr="008E781C">
              <w:rPr>
                <w:rFonts w:ascii="Century Gothic" w:hAnsi="Century Gothic"/>
                <w:bCs/>
                <w:sz w:val="18"/>
                <w:szCs w:val="18"/>
              </w:rPr>
              <w:t xml:space="preserve">has been issued in the </w:t>
            </w:r>
            <w:r w:rsidRPr="008E781C">
              <w:rPr>
                <w:rFonts w:ascii="Century Gothic" w:hAnsi="Century Gothic"/>
                <w:b/>
                <w:bCs/>
                <w:sz w:val="18"/>
                <w:szCs w:val="18"/>
              </w:rPr>
              <w:t>Schengen Information System</w:t>
            </w:r>
            <w:r w:rsidRPr="008E781C">
              <w:rPr>
                <w:rFonts w:ascii="Century Gothic" w:hAnsi="Century Gothic"/>
                <w:bCs/>
                <w:sz w:val="18"/>
                <w:szCs w:val="18"/>
              </w:rPr>
              <w:t>.</w:t>
            </w:r>
            <w:r w:rsidRPr="008E781C">
              <w:rPr>
                <w:rFonts w:ascii="Century Gothic" w:hAnsi="Century Gothic"/>
                <w:bCs/>
                <w:sz w:val="18"/>
                <w:szCs w:val="18"/>
                <w:vertAlign w:val="superscript"/>
              </w:rPr>
              <w:footnoteReference w:id="238"/>
            </w:r>
            <w:r w:rsidRPr="008E781C">
              <w:rPr>
                <w:rFonts w:ascii="Century Gothic" w:hAnsi="Century Gothic"/>
                <w:bCs/>
                <w:sz w:val="18"/>
                <w:szCs w:val="18"/>
              </w:rPr>
              <w:t xml:space="preserve"> </w:t>
            </w:r>
          </w:p>
          <w:p w14:paraId="0B21F0CE" w14:textId="653B9390"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lastRenderedPageBreak/>
              <w:t xml:space="preserve">In addition, when the application is for an </w:t>
            </w:r>
            <w:r w:rsidRPr="008E781C">
              <w:rPr>
                <w:rFonts w:ascii="Century Gothic" w:hAnsi="Century Gothic"/>
                <w:b/>
                <w:bCs/>
                <w:sz w:val="18"/>
                <w:szCs w:val="18"/>
              </w:rPr>
              <w:t>investors residence authorisation</w:t>
            </w:r>
            <w:r w:rsidRPr="008E781C">
              <w:rPr>
                <w:rFonts w:ascii="Century Gothic" w:hAnsi="Century Gothic"/>
                <w:bCs/>
                <w:sz w:val="18"/>
                <w:szCs w:val="18"/>
              </w:rPr>
              <w:t>, Law 14/2013</w:t>
            </w:r>
            <w:r w:rsidRPr="008E781C">
              <w:rPr>
                <w:rFonts w:ascii="Century Gothic" w:hAnsi="Century Gothic"/>
                <w:bCs/>
                <w:sz w:val="18"/>
                <w:szCs w:val="18"/>
                <w:vertAlign w:val="superscript"/>
              </w:rPr>
              <w:footnoteReference w:id="239"/>
            </w:r>
            <w:r w:rsidRPr="008E781C">
              <w:rPr>
                <w:rFonts w:ascii="Century Gothic" w:hAnsi="Century Gothic"/>
                <w:bCs/>
                <w:sz w:val="18"/>
                <w:szCs w:val="18"/>
              </w:rPr>
              <w:t xml:space="preserve"> requires the applicant:</w:t>
            </w:r>
          </w:p>
          <w:p w14:paraId="20851652" w14:textId="3998DB4C" w:rsidR="00842F1F" w:rsidRPr="008E781C" w:rsidRDefault="00842F1F" w:rsidP="003F4746">
            <w:pPr>
              <w:pStyle w:val="ListParagraph"/>
              <w:numPr>
                <w:ilvl w:val="0"/>
                <w:numId w:val="9"/>
              </w:numPr>
              <w:ind w:left="449" w:hanging="425"/>
              <w:contextualSpacing w:val="0"/>
              <w:rPr>
                <w:rFonts w:ascii="Century Gothic" w:hAnsi="Century Gothic"/>
                <w:bCs/>
                <w:sz w:val="18"/>
                <w:szCs w:val="18"/>
              </w:rPr>
            </w:pPr>
            <w:r w:rsidRPr="008E781C">
              <w:rPr>
                <w:rFonts w:ascii="Century Gothic" w:hAnsi="Century Gothic"/>
                <w:bCs/>
                <w:sz w:val="18"/>
                <w:szCs w:val="18"/>
              </w:rPr>
              <w:t xml:space="preserve">not to be illegally in </w:t>
            </w:r>
            <w:r w:rsidR="00F508DE" w:rsidRPr="008E781C">
              <w:rPr>
                <w:rFonts w:ascii="Century Gothic" w:hAnsi="Century Gothic"/>
                <w:bCs/>
                <w:sz w:val="18"/>
                <w:szCs w:val="18"/>
              </w:rPr>
              <w:t>Spain</w:t>
            </w:r>
            <w:r w:rsidRPr="008E781C">
              <w:rPr>
                <w:rFonts w:ascii="Century Gothic" w:hAnsi="Century Gothic"/>
                <w:bCs/>
                <w:sz w:val="18"/>
                <w:szCs w:val="18"/>
              </w:rPr>
              <w:t>;</w:t>
            </w:r>
            <w:r w:rsidRPr="008E781C">
              <w:rPr>
                <w:rStyle w:val="FootnoteReference"/>
              </w:rPr>
              <w:footnoteReference w:id="240"/>
            </w:r>
            <w:r w:rsidRPr="008E781C">
              <w:rPr>
                <w:rFonts w:ascii="Century Gothic" w:hAnsi="Century Gothic"/>
                <w:bCs/>
                <w:sz w:val="18"/>
                <w:szCs w:val="18"/>
              </w:rPr>
              <w:t xml:space="preserve"> </w:t>
            </w:r>
          </w:p>
          <w:p w14:paraId="370CDB69" w14:textId="3821C03C" w:rsidR="00842F1F" w:rsidRPr="008E781C" w:rsidRDefault="00842F1F" w:rsidP="003F4746">
            <w:pPr>
              <w:pStyle w:val="ListParagraph"/>
              <w:numPr>
                <w:ilvl w:val="0"/>
                <w:numId w:val="9"/>
              </w:numPr>
              <w:ind w:left="449" w:hanging="425"/>
              <w:contextualSpacing w:val="0"/>
              <w:rPr>
                <w:rFonts w:ascii="Century Gothic" w:hAnsi="Century Gothic"/>
                <w:bCs/>
                <w:sz w:val="18"/>
                <w:szCs w:val="18"/>
              </w:rPr>
            </w:pPr>
            <w:r w:rsidRPr="008E781C">
              <w:rPr>
                <w:rFonts w:ascii="Century Gothic" w:hAnsi="Century Gothic"/>
                <w:bCs/>
                <w:sz w:val="18"/>
                <w:szCs w:val="18"/>
              </w:rPr>
              <w:t xml:space="preserve">not to have criminal records for offences established in the Spanish legal system in Spain and in the countries where the person had his/her residence for the past five years; and </w:t>
            </w:r>
          </w:p>
          <w:p w14:paraId="5C86E710" w14:textId="067DF91F" w:rsidR="00842F1F" w:rsidRPr="008E781C" w:rsidRDefault="00842F1F" w:rsidP="003F4746">
            <w:pPr>
              <w:pStyle w:val="ListParagraph"/>
              <w:numPr>
                <w:ilvl w:val="0"/>
                <w:numId w:val="9"/>
              </w:numPr>
              <w:ind w:left="449" w:hanging="425"/>
              <w:contextualSpacing w:val="0"/>
              <w:rPr>
                <w:rFonts w:ascii="Century Gothic" w:hAnsi="Century Gothic"/>
                <w:bCs/>
                <w:sz w:val="18"/>
                <w:szCs w:val="18"/>
              </w:rPr>
            </w:pPr>
            <w:r w:rsidRPr="008E781C">
              <w:rPr>
                <w:rFonts w:ascii="Century Gothic" w:hAnsi="Century Gothic"/>
                <w:bCs/>
                <w:sz w:val="18"/>
                <w:szCs w:val="18"/>
              </w:rPr>
              <w:t xml:space="preserve">not to appear as rejected in the territorial area of countries with which Spain has signed an agreement </w:t>
            </w:r>
            <w:r w:rsidR="00F508DE" w:rsidRPr="008E781C">
              <w:rPr>
                <w:rFonts w:ascii="Century Gothic" w:hAnsi="Century Gothic"/>
                <w:bCs/>
                <w:sz w:val="18"/>
                <w:szCs w:val="18"/>
              </w:rPr>
              <w:t xml:space="preserve">in </w:t>
            </w:r>
            <w:r w:rsidRPr="008E781C">
              <w:rPr>
                <w:rFonts w:ascii="Century Gothic" w:hAnsi="Century Gothic"/>
                <w:bCs/>
                <w:sz w:val="18"/>
                <w:szCs w:val="18"/>
              </w:rPr>
              <w:t>this regard.</w:t>
            </w:r>
          </w:p>
        </w:tc>
        <w:tc>
          <w:tcPr>
            <w:tcW w:w="1729" w:type="pct"/>
            <w:shd w:val="clear" w:color="auto" w:fill="D9D9D9" w:themeFill="background1" w:themeFillShade="D9"/>
          </w:tcPr>
          <w:p w14:paraId="265121DE" w14:textId="6E468DFC"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lastRenderedPageBreak/>
              <w:t xml:space="preserve">Checks on the applicant’s background are carried out </w:t>
            </w:r>
            <w:r w:rsidRPr="008E781C">
              <w:rPr>
                <w:rFonts w:ascii="Century Gothic" w:hAnsi="Century Gothic"/>
                <w:b/>
                <w:bCs/>
                <w:sz w:val="18"/>
                <w:szCs w:val="18"/>
              </w:rPr>
              <w:t>at the time of submission of the application</w:t>
            </w:r>
            <w:r w:rsidRPr="008E781C">
              <w:rPr>
                <w:rFonts w:ascii="Century Gothic" w:hAnsi="Century Gothic"/>
                <w:bCs/>
                <w:sz w:val="18"/>
                <w:szCs w:val="18"/>
              </w:rPr>
              <w:t xml:space="preserve"> (whether it is for an investors’ residence visa</w:t>
            </w:r>
            <w:r w:rsidRPr="008E781C">
              <w:rPr>
                <w:rStyle w:val="FootnoteReference"/>
                <w:rFonts w:ascii="Century Gothic" w:hAnsi="Century Gothic"/>
                <w:bCs/>
                <w:sz w:val="18"/>
                <w:szCs w:val="18"/>
              </w:rPr>
              <w:footnoteReference w:id="241"/>
            </w:r>
            <w:r w:rsidRPr="008E781C">
              <w:rPr>
                <w:rFonts w:ascii="Century Gothic" w:hAnsi="Century Gothic"/>
                <w:bCs/>
                <w:sz w:val="18"/>
                <w:szCs w:val="18"/>
              </w:rPr>
              <w:t xml:space="preserve"> or for an investors’ residence authorisation</w:t>
            </w:r>
            <w:r w:rsidRPr="008E781C">
              <w:rPr>
                <w:rStyle w:val="FootnoteReference"/>
                <w:rFonts w:ascii="Century Gothic" w:hAnsi="Century Gothic"/>
                <w:bCs/>
                <w:sz w:val="18"/>
                <w:szCs w:val="18"/>
              </w:rPr>
              <w:footnoteReference w:id="242"/>
            </w:r>
            <w:r w:rsidR="00F508DE" w:rsidRPr="008E781C">
              <w:rPr>
                <w:rFonts w:ascii="Century Gothic" w:hAnsi="Century Gothic"/>
                <w:bCs/>
                <w:sz w:val="18"/>
                <w:szCs w:val="18"/>
              </w:rPr>
              <w:t>).</w:t>
            </w:r>
          </w:p>
          <w:p w14:paraId="422034DA" w14:textId="77777777" w:rsidR="00842F1F" w:rsidRPr="008E781C" w:rsidRDefault="00842F1F" w:rsidP="004E6663">
            <w:pPr>
              <w:jc w:val="both"/>
              <w:rPr>
                <w:rFonts w:ascii="Century Gothic" w:hAnsi="Century Gothic"/>
                <w:bCs/>
                <w:sz w:val="18"/>
                <w:szCs w:val="18"/>
              </w:rPr>
            </w:pPr>
          </w:p>
          <w:p w14:paraId="5BF43C3D" w14:textId="4B5A45D5"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t xml:space="preserve">During the procedure to obtain the </w:t>
            </w:r>
            <w:r w:rsidRPr="008E781C">
              <w:rPr>
                <w:rFonts w:ascii="Century Gothic" w:hAnsi="Century Gothic"/>
                <w:b/>
                <w:bCs/>
                <w:sz w:val="18"/>
                <w:szCs w:val="18"/>
              </w:rPr>
              <w:t>visa</w:t>
            </w:r>
            <w:r w:rsidRPr="008E781C">
              <w:rPr>
                <w:rFonts w:ascii="Century Gothic" w:hAnsi="Century Gothic"/>
                <w:bCs/>
                <w:sz w:val="18"/>
                <w:szCs w:val="18"/>
              </w:rPr>
              <w:t xml:space="preserve">, the diplomatic missions and consular posts can request information </w:t>
            </w:r>
            <w:r w:rsidR="00F508DE" w:rsidRPr="008E781C">
              <w:rPr>
                <w:rFonts w:ascii="Century Gothic" w:hAnsi="Century Gothic"/>
                <w:bCs/>
                <w:sz w:val="18"/>
                <w:szCs w:val="18"/>
              </w:rPr>
              <w:t xml:space="preserve">from </w:t>
            </w:r>
            <w:r w:rsidRPr="008E781C">
              <w:rPr>
                <w:rFonts w:ascii="Century Gothic" w:hAnsi="Century Gothic"/>
                <w:bCs/>
                <w:sz w:val="18"/>
                <w:szCs w:val="18"/>
              </w:rPr>
              <w:t>the Directorate-General of the Police to check if the applicant represents a risk for security.</w:t>
            </w:r>
            <w:r w:rsidRPr="008E781C">
              <w:rPr>
                <w:rFonts w:ascii="Century Gothic" w:hAnsi="Century Gothic"/>
                <w:bCs/>
                <w:sz w:val="18"/>
                <w:szCs w:val="18"/>
                <w:vertAlign w:val="superscript"/>
              </w:rPr>
              <w:footnoteReference w:id="243"/>
            </w:r>
            <w:r w:rsidRPr="008E781C">
              <w:rPr>
                <w:rFonts w:ascii="Century Gothic" w:hAnsi="Century Gothic"/>
                <w:bCs/>
                <w:sz w:val="18"/>
                <w:szCs w:val="18"/>
              </w:rPr>
              <w:t xml:space="preserve"> The DG of the Police must provide an answer </w:t>
            </w:r>
            <w:r w:rsidR="00F508DE" w:rsidRPr="008E781C">
              <w:rPr>
                <w:rFonts w:ascii="Century Gothic" w:hAnsi="Century Gothic"/>
                <w:bCs/>
                <w:sz w:val="18"/>
                <w:szCs w:val="18"/>
              </w:rPr>
              <w:t>within</w:t>
            </w:r>
            <w:r w:rsidRPr="008E781C">
              <w:rPr>
                <w:rFonts w:ascii="Century Gothic" w:hAnsi="Century Gothic"/>
                <w:bCs/>
                <w:sz w:val="18"/>
                <w:szCs w:val="18"/>
              </w:rPr>
              <w:t xml:space="preserve"> seven days </w:t>
            </w:r>
            <w:r w:rsidR="00F508DE" w:rsidRPr="008E781C">
              <w:rPr>
                <w:rFonts w:ascii="Century Gothic" w:hAnsi="Century Gothic"/>
                <w:bCs/>
                <w:sz w:val="18"/>
                <w:szCs w:val="18"/>
              </w:rPr>
              <w:t xml:space="preserve">from receiving </w:t>
            </w:r>
            <w:r w:rsidRPr="008E781C">
              <w:rPr>
                <w:rFonts w:ascii="Century Gothic" w:hAnsi="Century Gothic"/>
                <w:bCs/>
                <w:sz w:val="18"/>
                <w:szCs w:val="18"/>
              </w:rPr>
              <w:t xml:space="preserve">the request. </w:t>
            </w:r>
            <w:r w:rsidR="005B56C1" w:rsidRPr="008E781C">
              <w:rPr>
                <w:rFonts w:ascii="Century Gothic" w:hAnsi="Century Gothic"/>
                <w:bCs/>
                <w:sz w:val="18"/>
                <w:szCs w:val="18"/>
              </w:rPr>
              <w:t>Failing this</w:t>
            </w:r>
            <w:r w:rsidRPr="008E781C">
              <w:rPr>
                <w:rFonts w:ascii="Century Gothic" w:hAnsi="Century Gothic"/>
                <w:bCs/>
                <w:sz w:val="18"/>
                <w:szCs w:val="18"/>
              </w:rPr>
              <w:t>, the answer is considered positive (i.e. the applicant is considered a risk to Spain’s security).</w:t>
            </w:r>
            <w:r w:rsidRPr="008E781C">
              <w:rPr>
                <w:rFonts w:ascii="Century Gothic" w:hAnsi="Century Gothic"/>
                <w:bCs/>
                <w:sz w:val="18"/>
                <w:szCs w:val="18"/>
                <w:vertAlign w:val="superscript"/>
              </w:rPr>
              <w:footnoteReference w:id="244"/>
            </w:r>
            <w:r w:rsidRPr="008E781C">
              <w:rPr>
                <w:rFonts w:ascii="Century Gothic" w:hAnsi="Century Gothic"/>
                <w:bCs/>
                <w:sz w:val="18"/>
                <w:szCs w:val="18"/>
              </w:rPr>
              <w:t xml:space="preserve"> For such purposes national and international databases (including the Schengen Information System, the Europol Information System and Interpol) are consulted.</w:t>
            </w:r>
            <w:r w:rsidR="00A80D3C" w:rsidRPr="008E781C">
              <w:rPr>
                <w:rStyle w:val="FootnoteReference"/>
                <w:rFonts w:ascii="Century Gothic" w:hAnsi="Century Gothic"/>
                <w:bCs/>
                <w:sz w:val="18"/>
                <w:szCs w:val="18"/>
              </w:rPr>
              <w:footnoteReference w:id="245"/>
            </w:r>
          </w:p>
          <w:p w14:paraId="6D5F254F" w14:textId="6E372B12" w:rsidR="00842F1F" w:rsidRPr="008E781C" w:rsidRDefault="00842F1F" w:rsidP="004E6663">
            <w:pPr>
              <w:jc w:val="both"/>
              <w:rPr>
                <w:rFonts w:ascii="Century Gothic" w:hAnsi="Century Gothic"/>
                <w:bCs/>
                <w:sz w:val="18"/>
                <w:szCs w:val="18"/>
              </w:rPr>
            </w:pPr>
          </w:p>
          <w:p w14:paraId="66BD72EE" w14:textId="632FD0A7"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t xml:space="preserve">In processing the applications for </w:t>
            </w:r>
            <w:r w:rsidRPr="008E781C">
              <w:rPr>
                <w:rFonts w:ascii="Century Gothic" w:hAnsi="Century Gothic"/>
                <w:b/>
                <w:bCs/>
                <w:sz w:val="18"/>
                <w:szCs w:val="18"/>
              </w:rPr>
              <w:t>investors’ residence authorisations</w:t>
            </w:r>
            <w:r w:rsidRPr="008E781C">
              <w:rPr>
                <w:rFonts w:ascii="Century Gothic" w:hAnsi="Century Gothic"/>
                <w:bCs/>
                <w:sz w:val="18"/>
                <w:szCs w:val="18"/>
              </w:rPr>
              <w:t xml:space="preserve">, the UGE-CE has to check that the conditions that justified issuing an investors’ residence </w:t>
            </w:r>
            <w:r w:rsidRPr="008E781C">
              <w:rPr>
                <w:rFonts w:ascii="Century Gothic" w:hAnsi="Century Gothic"/>
                <w:bCs/>
                <w:sz w:val="18"/>
                <w:szCs w:val="18"/>
              </w:rPr>
              <w:lastRenderedPageBreak/>
              <w:t>visa (when the applicant holds such visa at the time of applying for an investors’ residence authorisation) are still met; and that the general conditions to issue international mobility authorisations are met.</w:t>
            </w:r>
            <w:r w:rsidRPr="008E781C">
              <w:rPr>
                <w:rStyle w:val="FootnoteReference"/>
                <w:rFonts w:ascii="Century Gothic" w:hAnsi="Century Gothic"/>
                <w:bCs/>
                <w:sz w:val="18"/>
                <w:szCs w:val="18"/>
              </w:rPr>
              <w:footnoteReference w:id="246"/>
            </w:r>
            <w:r w:rsidRPr="008E781C">
              <w:rPr>
                <w:rFonts w:ascii="Century Gothic" w:hAnsi="Century Gothic"/>
                <w:bCs/>
                <w:sz w:val="18"/>
                <w:szCs w:val="18"/>
              </w:rPr>
              <w:t xml:space="preserve"> These include</w:t>
            </w:r>
            <w:r w:rsidR="00F508DE" w:rsidRPr="008E781C">
              <w:rPr>
                <w:rFonts w:ascii="Century Gothic" w:hAnsi="Century Gothic"/>
                <w:bCs/>
                <w:sz w:val="18"/>
                <w:szCs w:val="18"/>
              </w:rPr>
              <w:t xml:space="preserve"> </w:t>
            </w:r>
            <w:r w:rsidRPr="008E781C">
              <w:rPr>
                <w:rFonts w:ascii="Century Gothic" w:hAnsi="Century Gothic"/>
                <w:bCs/>
                <w:sz w:val="18"/>
                <w:szCs w:val="18"/>
              </w:rPr>
              <w:t xml:space="preserve">the security checks on the applicant’s background. Although Law 14/2013 does not specify how such checks are carried out, it is understood that the UGE-CE can also liaise with the DG of the Police to verify that the supporting documents regarding the applicant’s background are </w:t>
            </w:r>
            <w:r w:rsidR="00F508DE" w:rsidRPr="008E781C">
              <w:rPr>
                <w:rFonts w:ascii="Century Gothic" w:hAnsi="Century Gothic"/>
                <w:bCs/>
                <w:sz w:val="18"/>
                <w:szCs w:val="18"/>
              </w:rPr>
              <w:t xml:space="preserve">true </w:t>
            </w:r>
            <w:r w:rsidRPr="008E781C">
              <w:rPr>
                <w:rFonts w:ascii="Century Gothic" w:hAnsi="Century Gothic"/>
                <w:bCs/>
                <w:sz w:val="18"/>
                <w:szCs w:val="18"/>
              </w:rPr>
              <w:t>and reliable.</w:t>
            </w:r>
            <w:r w:rsidRPr="008E781C">
              <w:rPr>
                <w:rStyle w:val="FootnoteReference"/>
                <w:rFonts w:ascii="Century Gothic" w:hAnsi="Century Gothic"/>
                <w:bCs/>
                <w:sz w:val="18"/>
                <w:szCs w:val="18"/>
              </w:rPr>
              <w:footnoteReference w:id="247"/>
            </w:r>
          </w:p>
          <w:p w14:paraId="461BE76D" w14:textId="77777777" w:rsidR="00842F1F" w:rsidRPr="008E781C" w:rsidRDefault="00842F1F" w:rsidP="004E6663">
            <w:pPr>
              <w:jc w:val="both"/>
              <w:rPr>
                <w:rFonts w:ascii="Century Gothic" w:hAnsi="Century Gothic"/>
                <w:bCs/>
                <w:sz w:val="18"/>
                <w:szCs w:val="18"/>
              </w:rPr>
            </w:pPr>
          </w:p>
          <w:p w14:paraId="79570F74" w14:textId="745F7B58"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t>Furthermore, the DGM can monitor and verify that the conditions that justified the issuance of the respective permit (whether a visa or an authorisation) continue to be met during the period of validity of the permit</w:t>
            </w:r>
            <w:r w:rsidRPr="008E781C">
              <w:rPr>
                <w:rStyle w:val="FootnoteReference"/>
                <w:rFonts w:ascii="Century Gothic" w:hAnsi="Century Gothic"/>
                <w:bCs/>
                <w:sz w:val="18"/>
                <w:szCs w:val="18"/>
              </w:rPr>
              <w:footnoteReference w:id="248"/>
            </w:r>
            <w:r w:rsidRPr="008E781C">
              <w:rPr>
                <w:rFonts w:ascii="Century Gothic" w:hAnsi="Century Gothic"/>
                <w:bCs/>
                <w:sz w:val="18"/>
                <w:szCs w:val="18"/>
              </w:rPr>
              <w:t xml:space="preserve"> (see </w:t>
            </w:r>
            <w:r w:rsidRPr="008E781C">
              <w:rPr>
                <w:rFonts w:ascii="Century Gothic" w:hAnsi="Century Gothic"/>
                <w:b/>
                <w:bCs/>
                <w:sz w:val="18"/>
                <w:szCs w:val="18"/>
              </w:rPr>
              <w:t>ex-post checks</w:t>
            </w:r>
            <w:r w:rsidRPr="008E781C">
              <w:rPr>
                <w:rFonts w:ascii="Century Gothic" w:hAnsi="Century Gothic"/>
                <w:bCs/>
                <w:sz w:val="18"/>
                <w:szCs w:val="18"/>
              </w:rPr>
              <w:t>, last column).</w:t>
            </w:r>
          </w:p>
          <w:p w14:paraId="319F3F6D" w14:textId="77777777" w:rsidR="00842F1F" w:rsidRPr="008E781C" w:rsidRDefault="00842F1F" w:rsidP="004E6663">
            <w:pPr>
              <w:jc w:val="both"/>
              <w:rPr>
                <w:rFonts w:ascii="Century Gothic" w:hAnsi="Century Gothic"/>
                <w:bCs/>
                <w:sz w:val="18"/>
                <w:szCs w:val="18"/>
              </w:rPr>
            </w:pPr>
          </w:p>
          <w:p w14:paraId="3E5B4B19" w14:textId="76C2C0A5" w:rsidR="00842F1F" w:rsidRPr="008E781C" w:rsidRDefault="00F508DE" w:rsidP="004E6663">
            <w:pPr>
              <w:jc w:val="both"/>
              <w:rPr>
                <w:rFonts w:ascii="Century Gothic" w:hAnsi="Century Gothic"/>
                <w:bCs/>
                <w:sz w:val="18"/>
                <w:szCs w:val="18"/>
              </w:rPr>
            </w:pPr>
            <w:r w:rsidRPr="008E781C">
              <w:rPr>
                <w:rFonts w:ascii="Century Gothic" w:hAnsi="Century Gothic"/>
                <w:bCs/>
                <w:sz w:val="18"/>
                <w:szCs w:val="18"/>
              </w:rPr>
              <w:t>F</w:t>
            </w:r>
            <w:r w:rsidR="00842F1F" w:rsidRPr="008E781C">
              <w:rPr>
                <w:rFonts w:ascii="Century Gothic" w:hAnsi="Century Gothic"/>
                <w:bCs/>
                <w:sz w:val="18"/>
                <w:szCs w:val="18"/>
              </w:rPr>
              <w:t>ailure to prove fulfilment of the security requirements may justify the rejection of the application for an investors’ residence visa or authorisation.</w:t>
            </w:r>
            <w:r w:rsidR="00842F1F" w:rsidRPr="008E781C">
              <w:rPr>
                <w:rFonts w:ascii="Century Gothic" w:hAnsi="Century Gothic"/>
                <w:bCs/>
                <w:sz w:val="18"/>
                <w:szCs w:val="18"/>
                <w:vertAlign w:val="superscript"/>
              </w:rPr>
              <w:footnoteReference w:id="249"/>
            </w:r>
          </w:p>
        </w:tc>
        <w:tc>
          <w:tcPr>
            <w:tcW w:w="1474" w:type="pct"/>
            <w:shd w:val="clear" w:color="auto" w:fill="D9D9D9" w:themeFill="background1" w:themeFillShade="D9"/>
          </w:tcPr>
          <w:p w14:paraId="03C00B9F" w14:textId="28656F22"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lastRenderedPageBreak/>
              <w:t xml:space="preserve">The competent authorities to issue the </w:t>
            </w:r>
            <w:r w:rsidR="00B3638E" w:rsidRPr="008E781C">
              <w:rPr>
                <w:rFonts w:ascii="Century Gothic" w:hAnsi="Century Gothic"/>
                <w:b/>
                <w:bCs/>
                <w:sz w:val="18"/>
                <w:szCs w:val="18"/>
              </w:rPr>
              <w:t>r</w:t>
            </w:r>
            <w:r w:rsidRPr="008E781C">
              <w:rPr>
                <w:rFonts w:ascii="Century Gothic" w:hAnsi="Century Gothic"/>
                <w:b/>
                <w:bCs/>
                <w:sz w:val="18"/>
                <w:szCs w:val="18"/>
              </w:rPr>
              <w:t>esidence visa for investors</w:t>
            </w:r>
            <w:r w:rsidRPr="008E781C">
              <w:rPr>
                <w:rFonts w:ascii="Century Gothic" w:hAnsi="Century Gothic"/>
                <w:bCs/>
                <w:sz w:val="18"/>
                <w:szCs w:val="18"/>
              </w:rPr>
              <w:t xml:space="preserve"> are the diplomatic missions and consular offices of Spain.</w:t>
            </w:r>
            <w:r w:rsidRPr="008E781C">
              <w:rPr>
                <w:rStyle w:val="FootnoteReference"/>
                <w:rFonts w:ascii="Century Gothic" w:hAnsi="Century Gothic"/>
                <w:bCs/>
                <w:sz w:val="18"/>
                <w:szCs w:val="18"/>
              </w:rPr>
              <w:footnoteReference w:id="250"/>
            </w:r>
            <w:r w:rsidRPr="008E781C">
              <w:rPr>
                <w:rFonts w:ascii="Century Gothic" w:hAnsi="Century Gothic"/>
                <w:bCs/>
                <w:sz w:val="18"/>
                <w:szCs w:val="18"/>
              </w:rPr>
              <w:t xml:space="preserve"> Therefore, documents related to the security checks on the applicant’s background (see first column) have to be submitted to them. In examining such documents, the diplomatic missions and consular offices can also request information </w:t>
            </w:r>
            <w:r w:rsidR="00F508DE" w:rsidRPr="008E781C">
              <w:rPr>
                <w:rFonts w:ascii="Century Gothic" w:hAnsi="Century Gothic"/>
                <w:bCs/>
                <w:sz w:val="18"/>
                <w:szCs w:val="18"/>
              </w:rPr>
              <w:t xml:space="preserve">from </w:t>
            </w:r>
            <w:r w:rsidRPr="008E781C">
              <w:rPr>
                <w:rFonts w:ascii="Century Gothic" w:hAnsi="Century Gothic"/>
                <w:b/>
                <w:bCs/>
                <w:sz w:val="18"/>
                <w:szCs w:val="18"/>
              </w:rPr>
              <w:t xml:space="preserve">the DG of the Police </w:t>
            </w:r>
            <w:r w:rsidRPr="008E781C">
              <w:rPr>
                <w:rFonts w:ascii="Century Gothic" w:hAnsi="Century Gothic"/>
                <w:bCs/>
                <w:sz w:val="18"/>
                <w:szCs w:val="18"/>
              </w:rPr>
              <w:t>to check if the applicant represents a risk for security.</w:t>
            </w:r>
            <w:r w:rsidRPr="008E781C">
              <w:rPr>
                <w:rStyle w:val="FootnoteReference"/>
                <w:rFonts w:ascii="Century Gothic" w:hAnsi="Century Gothic"/>
                <w:bCs/>
                <w:sz w:val="18"/>
                <w:szCs w:val="18"/>
              </w:rPr>
              <w:footnoteReference w:id="251"/>
            </w:r>
          </w:p>
          <w:p w14:paraId="4C9C544C" w14:textId="77777777" w:rsidR="00842F1F" w:rsidRPr="008E781C" w:rsidRDefault="00842F1F" w:rsidP="004E6663">
            <w:pPr>
              <w:jc w:val="both"/>
              <w:rPr>
                <w:rFonts w:ascii="Century Gothic" w:hAnsi="Century Gothic"/>
                <w:bCs/>
                <w:sz w:val="18"/>
                <w:szCs w:val="18"/>
              </w:rPr>
            </w:pPr>
          </w:p>
          <w:p w14:paraId="060BBB42" w14:textId="77777777" w:rsidR="00842F1F" w:rsidRPr="008E781C" w:rsidRDefault="00842F1F" w:rsidP="004E6663">
            <w:pPr>
              <w:jc w:val="both"/>
              <w:rPr>
                <w:rFonts w:ascii="Century Gothic" w:hAnsi="Century Gothic"/>
                <w:bCs/>
                <w:sz w:val="18"/>
                <w:szCs w:val="18"/>
              </w:rPr>
            </w:pPr>
            <w:r w:rsidRPr="008E781C">
              <w:rPr>
                <w:rFonts w:ascii="Century Gothic" w:hAnsi="Century Gothic"/>
                <w:bCs/>
                <w:sz w:val="18"/>
                <w:szCs w:val="18"/>
              </w:rPr>
              <w:t xml:space="preserve">The competent authority to examine and process the applications for </w:t>
            </w:r>
            <w:r w:rsidRPr="008E781C">
              <w:rPr>
                <w:rFonts w:ascii="Century Gothic" w:hAnsi="Century Gothic"/>
                <w:b/>
                <w:bCs/>
                <w:sz w:val="18"/>
                <w:szCs w:val="18"/>
              </w:rPr>
              <w:t>investors’ residence authorisations</w:t>
            </w:r>
            <w:r w:rsidRPr="008E781C">
              <w:rPr>
                <w:rFonts w:ascii="Century Gothic" w:hAnsi="Century Gothic"/>
                <w:bCs/>
                <w:sz w:val="18"/>
                <w:szCs w:val="18"/>
              </w:rPr>
              <w:t xml:space="preserve">, including the supporting documents on the applicant’s background, is the </w:t>
            </w:r>
            <w:r w:rsidRPr="008E781C">
              <w:rPr>
                <w:rFonts w:ascii="Century Gothic" w:hAnsi="Century Gothic"/>
                <w:b/>
                <w:bCs/>
                <w:sz w:val="18"/>
                <w:szCs w:val="18"/>
              </w:rPr>
              <w:t>UGE-CE</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52"/>
            </w:r>
          </w:p>
          <w:p w14:paraId="3C7A455C" w14:textId="77777777" w:rsidR="00842F1F" w:rsidRPr="008E781C" w:rsidRDefault="00842F1F" w:rsidP="004E6663">
            <w:pPr>
              <w:jc w:val="both"/>
              <w:rPr>
                <w:rFonts w:ascii="Century Gothic" w:hAnsi="Century Gothic"/>
                <w:bCs/>
                <w:sz w:val="18"/>
                <w:szCs w:val="18"/>
              </w:rPr>
            </w:pPr>
          </w:p>
          <w:p w14:paraId="2DA83D9E" w14:textId="77777777" w:rsidR="00842F1F" w:rsidRPr="008E781C" w:rsidRDefault="00842F1F" w:rsidP="004E6663">
            <w:pPr>
              <w:jc w:val="both"/>
              <w:rPr>
                <w:rFonts w:ascii="Century Gothic" w:hAnsi="Century Gothic"/>
                <w:bCs/>
                <w:sz w:val="18"/>
                <w:szCs w:val="18"/>
              </w:rPr>
            </w:pPr>
            <w:r w:rsidRPr="008E781C">
              <w:rPr>
                <w:rFonts w:ascii="Century Gothic" w:hAnsi="Century Gothic"/>
                <w:b/>
                <w:bCs/>
                <w:sz w:val="18"/>
                <w:szCs w:val="18"/>
              </w:rPr>
              <w:t>Once the visa and authorisation have been granted,</w:t>
            </w:r>
            <w:r w:rsidRPr="008E781C">
              <w:rPr>
                <w:rFonts w:ascii="Century Gothic" w:hAnsi="Century Gothic"/>
                <w:bCs/>
                <w:sz w:val="18"/>
                <w:szCs w:val="18"/>
              </w:rPr>
              <w:t xml:space="preserve"> the conditions that justified their issuance have to be maintained.</w:t>
            </w:r>
            <w:r w:rsidRPr="008E781C">
              <w:rPr>
                <w:rStyle w:val="FootnoteReference"/>
                <w:rFonts w:ascii="Century Gothic" w:hAnsi="Century Gothic"/>
                <w:bCs/>
                <w:sz w:val="18"/>
                <w:szCs w:val="18"/>
              </w:rPr>
              <w:footnoteReference w:id="253"/>
            </w:r>
            <w:r w:rsidRPr="008E781C">
              <w:rPr>
                <w:rFonts w:ascii="Century Gothic" w:hAnsi="Century Gothic"/>
                <w:bCs/>
                <w:sz w:val="18"/>
                <w:szCs w:val="18"/>
              </w:rPr>
              <w:t xml:space="preserve"> The </w:t>
            </w:r>
            <w:r w:rsidRPr="008E781C">
              <w:rPr>
                <w:rFonts w:ascii="Century Gothic" w:hAnsi="Century Gothic"/>
                <w:bCs/>
                <w:sz w:val="18"/>
                <w:szCs w:val="18"/>
              </w:rPr>
              <w:lastRenderedPageBreak/>
              <w:t xml:space="preserve">competent authority to verify and monitor this is </w:t>
            </w:r>
            <w:r w:rsidRPr="008E781C">
              <w:rPr>
                <w:rFonts w:ascii="Century Gothic" w:hAnsi="Century Gothic"/>
                <w:b/>
                <w:bCs/>
                <w:sz w:val="18"/>
                <w:szCs w:val="18"/>
              </w:rPr>
              <w:t>the DGM</w:t>
            </w:r>
            <w:r w:rsidRPr="008E781C">
              <w:rPr>
                <w:rFonts w:ascii="Century Gothic" w:hAnsi="Century Gothic"/>
                <w:bCs/>
                <w:sz w:val="18"/>
                <w:szCs w:val="18"/>
              </w:rPr>
              <w:t xml:space="preserve"> which, for such purposes, may gather the necessary reports from the competent authorities.</w:t>
            </w:r>
            <w:r w:rsidRPr="008E781C">
              <w:rPr>
                <w:rStyle w:val="FootnoteReference"/>
                <w:rFonts w:ascii="Century Gothic" w:hAnsi="Century Gothic"/>
                <w:bCs/>
                <w:sz w:val="18"/>
                <w:szCs w:val="18"/>
              </w:rPr>
              <w:footnoteReference w:id="254"/>
            </w:r>
          </w:p>
          <w:p w14:paraId="72C859E0" w14:textId="77777777" w:rsidR="00842F1F" w:rsidRPr="008E781C" w:rsidRDefault="00842F1F" w:rsidP="004E6663">
            <w:pPr>
              <w:jc w:val="both"/>
              <w:rPr>
                <w:rFonts w:ascii="Century Gothic" w:hAnsi="Century Gothic"/>
                <w:bCs/>
                <w:sz w:val="18"/>
                <w:szCs w:val="18"/>
              </w:rPr>
            </w:pPr>
          </w:p>
          <w:p w14:paraId="4F5CC257" w14:textId="57035B50" w:rsidR="00842F1F" w:rsidRPr="008E781C" w:rsidRDefault="00F508DE" w:rsidP="004E6663">
            <w:pPr>
              <w:jc w:val="both"/>
              <w:rPr>
                <w:rFonts w:ascii="Century Gothic" w:hAnsi="Century Gothic"/>
                <w:bCs/>
                <w:sz w:val="18"/>
                <w:szCs w:val="18"/>
              </w:rPr>
            </w:pPr>
            <w:r w:rsidRPr="008E781C">
              <w:rPr>
                <w:rFonts w:ascii="Century Gothic" w:hAnsi="Century Gothic"/>
                <w:bCs/>
                <w:sz w:val="18"/>
                <w:szCs w:val="18"/>
              </w:rPr>
              <w:t>The</w:t>
            </w:r>
            <w:r w:rsidR="00842F1F" w:rsidRPr="008E781C">
              <w:rPr>
                <w:rFonts w:ascii="Century Gothic" w:hAnsi="Century Gothic"/>
                <w:bCs/>
                <w:sz w:val="18"/>
                <w:szCs w:val="18"/>
              </w:rPr>
              <w:t xml:space="preserve"> </w:t>
            </w:r>
            <w:r w:rsidR="00842F1F" w:rsidRPr="008E781C">
              <w:rPr>
                <w:rFonts w:ascii="Century Gothic" w:hAnsi="Century Gothic"/>
                <w:b/>
                <w:bCs/>
                <w:sz w:val="18"/>
                <w:szCs w:val="18"/>
              </w:rPr>
              <w:t xml:space="preserve">competent central authorities of other Member States </w:t>
            </w:r>
            <w:r w:rsidR="00842F1F" w:rsidRPr="008E781C">
              <w:rPr>
                <w:rFonts w:ascii="Century Gothic" w:hAnsi="Century Gothic"/>
                <w:bCs/>
                <w:sz w:val="18"/>
                <w:szCs w:val="18"/>
              </w:rPr>
              <w:t>may be consulted.</w:t>
            </w:r>
            <w:r w:rsidR="00842F1F" w:rsidRPr="008E781C">
              <w:rPr>
                <w:rStyle w:val="FootnoteReference"/>
                <w:rFonts w:ascii="Century Gothic" w:hAnsi="Century Gothic"/>
                <w:bCs/>
                <w:sz w:val="18"/>
                <w:szCs w:val="18"/>
              </w:rPr>
              <w:footnoteReference w:id="255"/>
            </w:r>
            <w:r w:rsidR="00842F1F" w:rsidRPr="008E781C">
              <w:rPr>
                <w:rFonts w:ascii="Century Gothic" w:hAnsi="Century Gothic"/>
                <w:bCs/>
                <w:sz w:val="18"/>
                <w:szCs w:val="18"/>
              </w:rPr>
              <w:t xml:space="preserve"> Since the requirements of Regulation</w:t>
            </w:r>
            <w:r w:rsidRPr="008E781C">
              <w:rPr>
                <w:rFonts w:ascii="Century Gothic" w:hAnsi="Century Gothic"/>
                <w:bCs/>
                <w:sz w:val="18"/>
                <w:szCs w:val="18"/>
              </w:rPr>
              <w:t xml:space="preserve"> 810/2009</w:t>
            </w:r>
            <w:r w:rsidR="00842F1F" w:rsidRPr="008E781C">
              <w:rPr>
                <w:rFonts w:ascii="Century Gothic" w:hAnsi="Century Gothic"/>
                <w:bCs/>
                <w:sz w:val="18"/>
                <w:szCs w:val="18"/>
              </w:rPr>
              <w:t xml:space="preserve"> </w:t>
            </w:r>
            <w:r w:rsidRPr="008E781C">
              <w:rPr>
                <w:rFonts w:ascii="Century Gothic" w:hAnsi="Century Gothic"/>
                <w:bCs/>
                <w:sz w:val="18"/>
                <w:szCs w:val="18"/>
              </w:rPr>
              <w:t>must</w:t>
            </w:r>
            <w:r w:rsidR="00842F1F" w:rsidRPr="008E781C">
              <w:rPr>
                <w:rFonts w:ascii="Century Gothic" w:hAnsi="Century Gothic"/>
                <w:bCs/>
                <w:sz w:val="18"/>
                <w:szCs w:val="18"/>
              </w:rPr>
              <w:t xml:space="preserve"> be respected in issuing investors’ residence visas and authorisations, it is understood that the competent authorities for these permits </w:t>
            </w:r>
            <w:r w:rsidRPr="008E781C">
              <w:rPr>
                <w:rFonts w:ascii="Century Gothic" w:hAnsi="Century Gothic"/>
                <w:bCs/>
                <w:sz w:val="18"/>
                <w:szCs w:val="18"/>
              </w:rPr>
              <w:t>can</w:t>
            </w:r>
            <w:r w:rsidR="00842F1F" w:rsidRPr="008E781C">
              <w:rPr>
                <w:rFonts w:ascii="Century Gothic" w:hAnsi="Century Gothic"/>
                <w:bCs/>
                <w:sz w:val="18"/>
                <w:szCs w:val="18"/>
              </w:rPr>
              <w:t xml:space="preserve"> consult the central authorities of other Member States as regards the security checks on the applicant’s background where appropriate.</w:t>
            </w:r>
            <w:r w:rsidR="005B56C1" w:rsidRPr="008E781C">
              <w:rPr>
                <w:rStyle w:val="FootnoteReference"/>
                <w:rFonts w:ascii="Century Gothic" w:hAnsi="Century Gothic"/>
                <w:bCs/>
                <w:sz w:val="18"/>
                <w:szCs w:val="18"/>
              </w:rPr>
              <w:footnoteReference w:id="256"/>
            </w:r>
          </w:p>
        </w:tc>
        <w:tc>
          <w:tcPr>
            <w:tcW w:w="732" w:type="pct"/>
            <w:vMerge w:val="restart"/>
            <w:shd w:val="clear" w:color="auto" w:fill="D9D9D9" w:themeFill="background1" w:themeFillShade="D9"/>
          </w:tcPr>
          <w:p w14:paraId="347713FE" w14:textId="125B7CEF" w:rsidR="00842F1F" w:rsidRPr="008E781C" w:rsidRDefault="00842F1F" w:rsidP="004E6663">
            <w:pPr>
              <w:jc w:val="both"/>
              <w:rPr>
                <w:rFonts w:ascii="Century Gothic" w:hAnsi="Century Gothic"/>
                <w:bCs/>
                <w:sz w:val="18"/>
                <w:szCs w:val="18"/>
              </w:rPr>
            </w:pPr>
            <w:r w:rsidRPr="008E781C">
              <w:rPr>
                <w:rFonts w:ascii="Century Gothic" w:hAnsi="Century Gothic"/>
                <w:b/>
                <w:bCs/>
                <w:sz w:val="18"/>
                <w:szCs w:val="18"/>
              </w:rPr>
              <w:lastRenderedPageBreak/>
              <w:t>The DGM can carry out any checks that it considers convenient and necessary to verify that the requirements that justified the issuance of the corresponding permit</w:t>
            </w:r>
            <w:r w:rsidRPr="008E781C">
              <w:rPr>
                <w:rFonts w:ascii="Century Gothic" w:hAnsi="Century Gothic"/>
                <w:bCs/>
                <w:sz w:val="18"/>
                <w:szCs w:val="18"/>
              </w:rPr>
              <w:t xml:space="preserve"> </w:t>
            </w:r>
            <w:r w:rsidRPr="008E781C">
              <w:rPr>
                <w:rFonts w:ascii="Century Gothic" w:hAnsi="Century Gothic"/>
                <w:b/>
                <w:bCs/>
                <w:sz w:val="18"/>
                <w:szCs w:val="18"/>
              </w:rPr>
              <w:t>continue to be fulfilled during the period of validity of the permit</w:t>
            </w:r>
            <w:r w:rsidRPr="008E781C">
              <w:rPr>
                <w:rFonts w:ascii="Century Gothic" w:hAnsi="Century Gothic"/>
                <w:bCs/>
                <w:sz w:val="18"/>
                <w:szCs w:val="18"/>
              </w:rPr>
              <w:t>. The frequency of such checks is not established by law; rather, they will be carried out at the discretion of the DGM</w:t>
            </w:r>
            <w:r w:rsidR="003F4746" w:rsidRPr="008E781C">
              <w:rPr>
                <w:rFonts w:ascii="Century Gothic" w:hAnsi="Century Gothic"/>
                <w:bCs/>
                <w:sz w:val="18"/>
                <w:szCs w:val="18"/>
              </w:rPr>
              <w:t>.</w:t>
            </w:r>
            <w:r w:rsidRPr="008E781C">
              <w:rPr>
                <w:rStyle w:val="FootnoteReference"/>
                <w:rFonts w:ascii="Century Gothic" w:hAnsi="Century Gothic"/>
                <w:bCs/>
                <w:sz w:val="18"/>
                <w:szCs w:val="18"/>
              </w:rPr>
              <w:footnoteReference w:id="257"/>
            </w:r>
          </w:p>
          <w:p w14:paraId="4F759DE0" w14:textId="77777777" w:rsidR="00842F1F" w:rsidRPr="008E781C" w:rsidRDefault="00842F1F" w:rsidP="004E6663">
            <w:pPr>
              <w:jc w:val="both"/>
              <w:rPr>
                <w:rFonts w:ascii="Century Gothic" w:hAnsi="Century Gothic"/>
                <w:bCs/>
                <w:sz w:val="18"/>
                <w:szCs w:val="18"/>
              </w:rPr>
            </w:pPr>
          </w:p>
          <w:p w14:paraId="7A7A3BD7" w14:textId="0B86C9BF" w:rsidR="005B56C1" w:rsidRPr="008E781C" w:rsidRDefault="00842F1F" w:rsidP="005B56C1">
            <w:pPr>
              <w:jc w:val="both"/>
              <w:rPr>
                <w:rFonts w:ascii="Century Gothic" w:hAnsi="Century Gothic"/>
                <w:bCs/>
                <w:sz w:val="18"/>
                <w:szCs w:val="18"/>
              </w:rPr>
            </w:pPr>
            <w:r w:rsidRPr="008E781C">
              <w:rPr>
                <w:rFonts w:ascii="Century Gothic" w:hAnsi="Century Gothic"/>
                <w:bCs/>
                <w:sz w:val="18"/>
                <w:szCs w:val="18"/>
              </w:rPr>
              <w:lastRenderedPageBreak/>
              <w:t xml:space="preserve">In carrying out these checks, the DGM may </w:t>
            </w:r>
            <w:r w:rsidRPr="008E781C">
              <w:rPr>
                <w:rFonts w:ascii="Century Gothic" w:hAnsi="Century Gothic"/>
                <w:b/>
                <w:bCs/>
                <w:sz w:val="18"/>
                <w:szCs w:val="18"/>
              </w:rPr>
              <w:t>take the measures it considers appropriate</w:t>
            </w:r>
            <w:r w:rsidRPr="008E781C">
              <w:rPr>
                <w:rStyle w:val="FootnoteReference"/>
                <w:rFonts w:ascii="Century Gothic" w:hAnsi="Century Gothic"/>
                <w:bCs/>
                <w:sz w:val="18"/>
                <w:szCs w:val="18"/>
              </w:rPr>
              <w:footnoteReference w:id="258"/>
            </w:r>
            <w:r w:rsidRPr="008E781C">
              <w:rPr>
                <w:rFonts w:ascii="Century Gothic" w:hAnsi="Century Gothic"/>
                <w:bCs/>
                <w:sz w:val="18"/>
                <w:szCs w:val="18"/>
              </w:rPr>
              <w:t xml:space="preserve"> (e.g. requesting reports from other authorities/entities).</w:t>
            </w:r>
            <w:r w:rsidRPr="008E781C">
              <w:rPr>
                <w:rStyle w:val="FootnoteReference"/>
                <w:rFonts w:ascii="Century Gothic" w:hAnsi="Century Gothic"/>
                <w:bCs/>
                <w:sz w:val="18"/>
                <w:szCs w:val="18"/>
              </w:rPr>
              <w:footnoteReference w:id="259"/>
            </w:r>
            <w:r w:rsidRPr="008E781C">
              <w:rPr>
                <w:rFonts w:ascii="Century Gothic" w:hAnsi="Century Gothic"/>
                <w:bCs/>
                <w:sz w:val="18"/>
                <w:szCs w:val="18"/>
              </w:rPr>
              <w:t xml:space="preserve"> If as a result of these checks, the DGM </w:t>
            </w:r>
            <w:r w:rsidR="00F508DE" w:rsidRPr="008E781C">
              <w:rPr>
                <w:rFonts w:ascii="Century Gothic" w:hAnsi="Century Gothic"/>
                <w:bCs/>
                <w:sz w:val="18"/>
                <w:szCs w:val="18"/>
              </w:rPr>
              <w:t xml:space="preserve">finds </w:t>
            </w:r>
            <w:r w:rsidRPr="008E781C">
              <w:rPr>
                <w:rFonts w:ascii="Century Gothic" w:hAnsi="Century Gothic"/>
                <w:bCs/>
                <w:sz w:val="18"/>
                <w:szCs w:val="18"/>
              </w:rPr>
              <w:t xml:space="preserve">that such requirements </w:t>
            </w:r>
            <w:r w:rsidR="00F508DE" w:rsidRPr="008E781C">
              <w:rPr>
                <w:rFonts w:ascii="Century Gothic" w:hAnsi="Century Gothic"/>
                <w:bCs/>
                <w:sz w:val="18"/>
                <w:szCs w:val="18"/>
              </w:rPr>
              <w:t>are no longer satisfied</w:t>
            </w:r>
            <w:r w:rsidRPr="008E781C">
              <w:rPr>
                <w:rFonts w:ascii="Century Gothic" w:hAnsi="Century Gothic"/>
                <w:bCs/>
                <w:sz w:val="18"/>
                <w:szCs w:val="18"/>
              </w:rPr>
              <w:t xml:space="preserve">, </w:t>
            </w:r>
            <w:r w:rsidR="00F508DE" w:rsidRPr="008E781C">
              <w:rPr>
                <w:rFonts w:ascii="Century Gothic" w:hAnsi="Century Gothic"/>
                <w:bCs/>
                <w:sz w:val="18"/>
                <w:szCs w:val="18"/>
              </w:rPr>
              <w:t xml:space="preserve">it </w:t>
            </w:r>
            <w:r w:rsidRPr="008E781C">
              <w:rPr>
                <w:rFonts w:ascii="Century Gothic" w:hAnsi="Century Gothic"/>
                <w:bCs/>
                <w:sz w:val="18"/>
                <w:szCs w:val="18"/>
              </w:rPr>
              <w:t xml:space="preserve">may, in a reasoned way and after hearing the holder of the permit, </w:t>
            </w:r>
            <w:r w:rsidR="00B3638E" w:rsidRPr="008E781C">
              <w:rPr>
                <w:rFonts w:ascii="Century Gothic" w:hAnsi="Century Gothic"/>
                <w:b/>
                <w:bCs/>
                <w:sz w:val="18"/>
                <w:szCs w:val="18"/>
              </w:rPr>
              <w:t>withdraw</w:t>
            </w:r>
            <w:r w:rsidRPr="008E781C">
              <w:rPr>
                <w:rFonts w:ascii="Century Gothic" w:hAnsi="Century Gothic"/>
                <w:b/>
                <w:bCs/>
                <w:sz w:val="18"/>
                <w:szCs w:val="18"/>
              </w:rPr>
              <w:t xml:space="preserve"> the corresponding permit</w:t>
            </w:r>
            <w:r w:rsidR="005B56C1" w:rsidRPr="008E781C">
              <w:rPr>
                <w:rFonts w:ascii="Century Gothic" w:hAnsi="Century Gothic"/>
                <w:bCs/>
                <w:sz w:val="18"/>
                <w:szCs w:val="18"/>
              </w:rPr>
              <w:t>,</w:t>
            </w:r>
            <w:r w:rsidRPr="008E781C">
              <w:rPr>
                <w:rStyle w:val="FootnoteReference"/>
                <w:rFonts w:ascii="Century Gothic" w:hAnsi="Century Gothic"/>
                <w:bCs/>
                <w:sz w:val="18"/>
                <w:szCs w:val="18"/>
              </w:rPr>
              <w:footnoteReference w:id="260"/>
            </w:r>
            <w:r w:rsidRPr="008E781C">
              <w:rPr>
                <w:rFonts w:ascii="Century Gothic" w:hAnsi="Century Gothic"/>
                <w:bCs/>
                <w:sz w:val="18"/>
                <w:szCs w:val="18"/>
              </w:rPr>
              <w:t xml:space="preserve"> </w:t>
            </w:r>
            <w:r w:rsidR="005B56C1" w:rsidRPr="008E781C">
              <w:rPr>
                <w:rFonts w:ascii="Century Gothic" w:hAnsi="Century Gothic"/>
                <w:bCs/>
                <w:sz w:val="18"/>
                <w:szCs w:val="18"/>
              </w:rPr>
              <w:t xml:space="preserve">except when the modification in the investment is due to </w:t>
            </w:r>
            <w:r w:rsidR="005B56C1" w:rsidRPr="008E781C">
              <w:rPr>
                <w:rFonts w:ascii="Century Gothic" w:hAnsi="Century Gothic"/>
                <w:bCs/>
                <w:sz w:val="18"/>
                <w:szCs w:val="18"/>
              </w:rPr>
              <w:lastRenderedPageBreak/>
              <w:t>market fluctuation.</w:t>
            </w:r>
            <w:r w:rsidR="005B56C1" w:rsidRPr="008E781C">
              <w:rPr>
                <w:rStyle w:val="FootnoteReference"/>
                <w:rFonts w:ascii="Century Gothic" w:hAnsi="Century Gothic"/>
                <w:bCs/>
                <w:sz w:val="18"/>
                <w:szCs w:val="18"/>
              </w:rPr>
              <w:footnoteReference w:id="261"/>
            </w:r>
            <w:r w:rsidR="005B56C1" w:rsidRPr="008E781C">
              <w:rPr>
                <w:rFonts w:ascii="Century Gothic" w:hAnsi="Century Gothic"/>
                <w:bCs/>
                <w:sz w:val="18"/>
                <w:szCs w:val="18"/>
              </w:rPr>
              <w:t xml:space="preserve"> </w:t>
            </w:r>
          </w:p>
          <w:p w14:paraId="01409297" w14:textId="77777777" w:rsidR="00842F1F" w:rsidRPr="008E781C" w:rsidRDefault="00842F1F" w:rsidP="004E6663">
            <w:pPr>
              <w:jc w:val="both"/>
              <w:rPr>
                <w:rFonts w:ascii="Century Gothic" w:hAnsi="Century Gothic"/>
                <w:bCs/>
                <w:sz w:val="18"/>
                <w:szCs w:val="18"/>
              </w:rPr>
            </w:pPr>
          </w:p>
          <w:p w14:paraId="34986FA7" w14:textId="3E2AFD36" w:rsidR="00842F1F" w:rsidRPr="008E781C" w:rsidRDefault="002263E0" w:rsidP="004E6663">
            <w:pPr>
              <w:jc w:val="both"/>
              <w:rPr>
                <w:rFonts w:ascii="Century Gothic" w:hAnsi="Century Gothic"/>
                <w:bCs/>
                <w:sz w:val="18"/>
                <w:szCs w:val="18"/>
              </w:rPr>
            </w:pPr>
            <w:r w:rsidRPr="008E781C">
              <w:rPr>
                <w:rFonts w:ascii="Century Gothic" w:hAnsi="Century Gothic"/>
                <w:b/>
                <w:bCs/>
                <w:sz w:val="18"/>
                <w:szCs w:val="18"/>
              </w:rPr>
              <w:t>No cases of corruption or misuse of the investors’ residence visa/authorisation have been reported</w:t>
            </w:r>
            <w:r w:rsidRPr="008E781C">
              <w:rPr>
                <w:rFonts w:ascii="Century Gothic" w:hAnsi="Century Gothic"/>
                <w:bCs/>
                <w:sz w:val="18"/>
                <w:szCs w:val="18"/>
              </w:rPr>
              <w:t>. The Spanish authorities have declared that strict ex-ante and ex-post controls are carried out</w:t>
            </w:r>
            <w:r w:rsidR="00FB45D3" w:rsidRPr="008E781C">
              <w:rPr>
                <w:rFonts w:ascii="Century Gothic" w:hAnsi="Century Gothic"/>
                <w:bCs/>
                <w:sz w:val="18"/>
                <w:szCs w:val="18"/>
              </w:rPr>
              <w:t xml:space="preserve"> including, inter alia, on the applicant’s background and the source of the funds.</w:t>
            </w:r>
            <w:r w:rsidR="00842F1F" w:rsidRPr="008E781C">
              <w:rPr>
                <w:rStyle w:val="FootnoteReference"/>
                <w:rFonts w:ascii="Century Gothic" w:hAnsi="Century Gothic"/>
                <w:bCs/>
                <w:sz w:val="18"/>
                <w:szCs w:val="18"/>
              </w:rPr>
              <w:footnoteReference w:id="262"/>
            </w:r>
          </w:p>
        </w:tc>
      </w:tr>
      <w:tr w:rsidR="00842F1F" w:rsidRPr="008E781C" w14:paraId="7D2AA40C" w14:textId="77777777" w:rsidTr="00E25ACA">
        <w:tc>
          <w:tcPr>
            <w:tcW w:w="1064" w:type="pct"/>
            <w:shd w:val="clear" w:color="auto" w:fill="D9D9D9" w:themeFill="background1" w:themeFillShade="D9"/>
          </w:tcPr>
          <w:p w14:paraId="61F280A2" w14:textId="777791D4" w:rsidR="00842F1F" w:rsidRPr="008E781C" w:rsidRDefault="00F508DE" w:rsidP="005B56C1">
            <w:pPr>
              <w:jc w:val="both"/>
              <w:rPr>
                <w:rFonts w:ascii="Century Gothic" w:hAnsi="Century Gothic"/>
                <w:b/>
                <w:bCs/>
                <w:color w:val="000000" w:themeColor="text1"/>
                <w:sz w:val="18"/>
                <w:szCs w:val="18"/>
              </w:rPr>
            </w:pPr>
            <w:r w:rsidRPr="008E781C">
              <w:rPr>
                <w:rFonts w:ascii="Century Gothic" w:hAnsi="Century Gothic"/>
                <w:b/>
                <w:bCs/>
                <w:color w:val="000000" w:themeColor="text1"/>
                <w:sz w:val="18"/>
                <w:szCs w:val="18"/>
              </w:rPr>
              <w:lastRenderedPageBreak/>
              <w:t>Checks</w:t>
            </w:r>
            <w:r w:rsidR="00842F1F" w:rsidRPr="008E781C">
              <w:rPr>
                <w:rFonts w:ascii="Century Gothic" w:hAnsi="Century Gothic"/>
                <w:b/>
                <w:bCs/>
                <w:color w:val="000000" w:themeColor="text1"/>
                <w:sz w:val="18"/>
                <w:szCs w:val="18"/>
              </w:rPr>
              <w:t xml:space="preserve"> on the origin of the money </w:t>
            </w:r>
          </w:p>
          <w:p w14:paraId="0EFB93D6" w14:textId="7E050606" w:rsidR="00842F1F" w:rsidRPr="008E781C" w:rsidRDefault="00842F1F" w:rsidP="005B56C1">
            <w:pPr>
              <w:jc w:val="both"/>
              <w:rPr>
                <w:rFonts w:ascii="Century Gothic" w:hAnsi="Century Gothic"/>
                <w:bCs/>
                <w:color w:val="000000" w:themeColor="text1"/>
                <w:sz w:val="18"/>
                <w:szCs w:val="18"/>
              </w:rPr>
            </w:pPr>
            <w:r w:rsidRPr="008E781C">
              <w:rPr>
                <w:rFonts w:ascii="Century Gothic" w:hAnsi="Century Gothic"/>
                <w:bCs/>
                <w:color w:val="000000" w:themeColor="text1"/>
                <w:sz w:val="18"/>
                <w:szCs w:val="18"/>
              </w:rPr>
              <w:lastRenderedPageBreak/>
              <w:t xml:space="preserve">Law 14/2013 does not include a provision on due diligence regarding the origin of the money. However, it does establish the </w:t>
            </w:r>
            <w:r w:rsidRPr="008E781C">
              <w:rPr>
                <w:rFonts w:ascii="Century Gothic" w:hAnsi="Century Gothic"/>
                <w:b/>
                <w:bCs/>
                <w:color w:val="000000" w:themeColor="text1"/>
                <w:sz w:val="18"/>
                <w:szCs w:val="18"/>
              </w:rPr>
              <w:t>means</w:t>
            </w:r>
            <w:r w:rsidR="00B3638E" w:rsidRPr="008E781C">
              <w:rPr>
                <w:rFonts w:ascii="Century Gothic" w:hAnsi="Century Gothic"/>
                <w:b/>
                <w:bCs/>
                <w:color w:val="000000" w:themeColor="text1"/>
                <w:sz w:val="18"/>
                <w:szCs w:val="18"/>
              </w:rPr>
              <w:t xml:space="preserve"> of evidence</w:t>
            </w:r>
            <w:r w:rsidRPr="008E781C">
              <w:rPr>
                <w:rFonts w:ascii="Century Gothic" w:hAnsi="Century Gothic"/>
                <w:b/>
                <w:bCs/>
                <w:color w:val="000000" w:themeColor="text1"/>
                <w:sz w:val="18"/>
                <w:szCs w:val="18"/>
              </w:rPr>
              <w:t xml:space="preserve"> to prove that the investment has been carried out</w:t>
            </w:r>
            <w:r w:rsidRPr="008E781C">
              <w:rPr>
                <w:rFonts w:ascii="Century Gothic" w:hAnsi="Century Gothic"/>
                <w:bCs/>
                <w:color w:val="000000" w:themeColor="text1"/>
                <w:sz w:val="18"/>
                <w:szCs w:val="18"/>
              </w:rPr>
              <w:t>.</w:t>
            </w:r>
            <w:r w:rsidRPr="008E781C">
              <w:rPr>
                <w:rStyle w:val="FootnoteReference"/>
                <w:rFonts w:ascii="Century Gothic" w:hAnsi="Century Gothic"/>
                <w:bCs/>
                <w:color w:val="000000" w:themeColor="text1"/>
                <w:sz w:val="18"/>
                <w:szCs w:val="18"/>
              </w:rPr>
              <w:footnoteReference w:id="263"/>
            </w:r>
            <w:r w:rsidRPr="008E781C">
              <w:rPr>
                <w:rFonts w:ascii="Century Gothic" w:hAnsi="Century Gothic"/>
                <w:bCs/>
                <w:color w:val="000000" w:themeColor="text1"/>
                <w:sz w:val="18"/>
                <w:szCs w:val="18"/>
              </w:rPr>
              <w:t xml:space="preserve"> This infers that a certain verification procedure is carried out as regards the investment.</w:t>
            </w:r>
          </w:p>
          <w:p w14:paraId="4E675233" w14:textId="77777777" w:rsidR="00842F1F" w:rsidRPr="008E781C" w:rsidRDefault="00842F1F" w:rsidP="005B56C1">
            <w:pPr>
              <w:jc w:val="both"/>
              <w:rPr>
                <w:rFonts w:ascii="Century Gothic" w:hAnsi="Century Gothic"/>
                <w:bCs/>
                <w:color w:val="000000" w:themeColor="text1"/>
                <w:sz w:val="18"/>
                <w:szCs w:val="18"/>
              </w:rPr>
            </w:pPr>
          </w:p>
          <w:p w14:paraId="67E45B51" w14:textId="66BC8CE6" w:rsidR="00842F1F" w:rsidRPr="008E781C" w:rsidRDefault="00842F1F" w:rsidP="005B56C1">
            <w:pPr>
              <w:jc w:val="both"/>
              <w:rPr>
                <w:rFonts w:ascii="Century Gothic" w:hAnsi="Century Gothic"/>
                <w:bCs/>
                <w:color w:val="000000" w:themeColor="text1"/>
                <w:sz w:val="18"/>
                <w:szCs w:val="18"/>
              </w:rPr>
            </w:pPr>
            <w:r w:rsidRPr="008E781C">
              <w:rPr>
                <w:rFonts w:ascii="Century Gothic" w:hAnsi="Century Gothic"/>
                <w:bCs/>
                <w:color w:val="000000" w:themeColor="text1"/>
                <w:sz w:val="18"/>
                <w:szCs w:val="18"/>
              </w:rPr>
              <w:t xml:space="preserve">Furthermore, </w:t>
            </w:r>
            <w:r w:rsidR="00D65278" w:rsidRPr="008E781C">
              <w:rPr>
                <w:rFonts w:ascii="Century Gothic" w:hAnsi="Century Gothic"/>
                <w:bCs/>
                <w:color w:val="000000" w:themeColor="text1"/>
                <w:sz w:val="18"/>
                <w:szCs w:val="18"/>
              </w:rPr>
              <w:t>to obtain an</w:t>
            </w:r>
            <w:r w:rsidRPr="008E781C">
              <w:rPr>
                <w:rFonts w:ascii="Century Gothic" w:hAnsi="Century Gothic"/>
                <w:bCs/>
                <w:color w:val="000000" w:themeColor="text1"/>
                <w:sz w:val="18"/>
                <w:szCs w:val="18"/>
              </w:rPr>
              <w:t xml:space="preserve"> </w:t>
            </w:r>
            <w:r w:rsidRPr="008E781C">
              <w:rPr>
                <w:rFonts w:ascii="Century Gothic" w:hAnsi="Century Gothic"/>
                <w:b/>
                <w:bCs/>
                <w:color w:val="000000" w:themeColor="text1"/>
                <w:sz w:val="18"/>
                <w:szCs w:val="18"/>
              </w:rPr>
              <w:t xml:space="preserve">investor’s </w:t>
            </w:r>
            <w:r w:rsidR="00B3638E" w:rsidRPr="008E781C">
              <w:rPr>
                <w:rFonts w:ascii="Century Gothic" w:hAnsi="Century Gothic"/>
                <w:b/>
                <w:bCs/>
                <w:color w:val="000000" w:themeColor="text1"/>
                <w:sz w:val="18"/>
                <w:szCs w:val="18"/>
              </w:rPr>
              <w:t>residence authorisation</w:t>
            </w:r>
            <w:r w:rsidRPr="008E781C">
              <w:rPr>
                <w:rFonts w:ascii="Century Gothic" w:hAnsi="Century Gothic"/>
                <w:bCs/>
                <w:color w:val="000000" w:themeColor="text1"/>
                <w:sz w:val="18"/>
                <w:szCs w:val="18"/>
              </w:rPr>
              <w:t xml:space="preserve"> </w:t>
            </w:r>
            <w:r w:rsidRPr="008E781C">
              <w:rPr>
                <w:rFonts w:ascii="Century Gothic" w:hAnsi="Century Gothic"/>
                <w:b/>
                <w:bCs/>
                <w:color w:val="000000" w:themeColor="text1"/>
                <w:sz w:val="18"/>
                <w:szCs w:val="18"/>
              </w:rPr>
              <w:t xml:space="preserve">the obligations of </w:t>
            </w:r>
            <w:r w:rsidR="003F4746" w:rsidRPr="008E781C">
              <w:rPr>
                <w:rFonts w:ascii="Century Gothic" w:hAnsi="Century Gothic"/>
                <w:b/>
                <w:bCs/>
                <w:color w:val="000000" w:themeColor="text1"/>
                <w:sz w:val="18"/>
                <w:szCs w:val="18"/>
              </w:rPr>
              <w:t>the anti-money laundering law (10/2010)</w:t>
            </w:r>
            <w:r w:rsidR="00D65278" w:rsidRPr="008E781C">
              <w:rPr>
                <w:rFonts w:ascii="Century Gothic" w:hAnsi="Century Gothic"/>
                <w:b/>
                <w:bCs/>
                <w:color w:val="000000" w:themeColor="text1"/>
                <w:sz w:val="18"/>
                <w:szCs w:val="18"/>
              </w:rPr>
              <w:t xml:space="preserve"> </w:t>
            </w:r>
            <w:r w:rsidR="00D65278" w:rsidRPr="008E781C">
              <w:rPr>
                <w:rFonts w:ascii="Century Gothic" w:hAnsi="Century Gothic"/>
                <w:bCs/>
                <w:color w:val="000000" w:themeColor="text1"/>
                <w:sz w:val="18"/>
                <w:szCs w:val="18"/>
              </w:rPr>
              <w:t>must be met</w:t>
            </w:r>
            <w:r w:rsidRPr="008E781C">
              <w:rPr>
                <w:rFonts w:ascii="Century Gothic" w:hAnsi="Century Gothic"/>
                <w:bCs/>
                <w:color w:val="000000" w:themeColor="text1"/>
                <w:sz w:val="18"/>
                <w:szCs w:val="18"/>
              </w:rPr>
              <w:t>.</w:t>
            </w:r>
            <w:r w:rsidRPr="008E781C">
              <w:rPr>
                <w:rStyle w:val="FootnoteReference"/>
                <w:rFonts w:ascii="Century Gothic" w:hAnsi="Century Gothic"/>
                <w:bCs/>
                <w:sz w:val="18"/>
                <w:szCs w:val="18"/>
              </w:rPr>
              <w:footnoteReference w:id="264"/>
            </w:r>
            <w:r w:rsidRPr="008E781C">
              <w:rPr>
                <w:rFonts w:ascii="Century Gothic" w:hAnsi="Century Gothic"/>
                <w:bCs/>
                <w:color w:val="000000" w:themeColor="text1"/>
                <w:sz w:val="18"/>
                <w:szCs w:val="18"/>
              </w:rPr>
              <w:t xml:space="preserve"> Law 10/2010 establishes that persons obliged by the law</w:t>
            </w:r>
            <w:r w:rsidRPr="008E781C">
              <w:rPr>
                <w:rStyle w:val="FootnoteReference"/>
                <w:rFonts w:ascii="Century Gothic" w:hAnsi="Century Gothic"/>
                <w:bCs/>
                <w:color w:val="000000" w:themeColor="text1"/>
                <w:sz w:val="18"/>
                <w:szCs w:val="18"/>
              </w:rPr>
              <w:footnoteReference w:id="265"/>
            </w:r>
            <w:r w:rsidRPr="008E781C">
              <w:rPr>
                <w:rFonts w:ascii="Century Gothic" w:hAnsi="Century Gothic"/>
                <w:bCs/>
                <w:color w:val="000000" w:themeColor="text1"/>
                <w:sz w:val="18"/>
                <w:szCs w:val="18"/>
              </w:rPr>
              <w:t xml:space="preserve"> must apply continuous monitoring measures to the business relationship, including the origin of the funds.</w:t>
            </w:r>
            <w:r w:rsidRPr="008E781C">
              <w:rPr>
                <w:rStyle w:val="FootnoteReference"/>
                <w:rFonts w:ascii="Century Gothic" w:hAnsi="Century Gothic"/>
                <w:bCs/>
                <w:color w:val="000000" w:themeColor="text1"/>
                <w:sz w:val="18"/>
                <w:szCs w:val="18"/>
              </w:rPr>
              <w:footnoteReference w:id="266"/>
            </w:r>
          </w:p>
          <w:p w14:paraId="2DD00EF7" w14:textId="77777777" w:rsidR="00842F1F" w:rsidRPr="008E781C" w:rsidRDefault="00842F1F" w:rsidP="005B56C1">
            <w:pPr>
              <w:jc w:val="both"/>
              <w:rPr>
                <w:rFonts w:ascii="Century Gothic" w:hAnsi="Century Gothic"/>
                <w:b/>
                <w:bCs/>
                <w:sz w:val="18"/>
                <w:szCs w:val="18"/>
              </w:rPr>
            </w:pPr>
          </w:p>
        </w:tc>
        <w:tc>
          <w:tcPr>
            <w:tcW w:w="1729" w:type="pct"/>
            <w:shd w:val="clear" w:color="auto" w:fill="D9D9D9" w:themeFill="background1" w:themeFillShade="D9"/>
          </w:tcPr>
          <w:p w14:paraId="37A494C3" w14:textId="3B72EBEF" w:rsidR="00842F1F" w:rsidRPr="008E781C" w:rsidRDefault="00842F1F" w:rsidP="005B56C1">
            <w:pPr>
              <w:jc w:val="both"/>
              <w:rPr>
                <w:rFonts w:ascii="Century Gothic" w:hAnsi="Century Gothic"/>
                <w:bCs/>
                <w:color w:val="000000" w:themeColor="text1"/>
                <w:sz w:val="18"/>
                <w:szCs w:val="18"/>
              </w:rPr>
            </w:pPr>
            <w:r w:rsidRPr="008E781C">
              <w:rPr>
                <w:rFonts w:ascii="Century Gothic" w:hAnsi="Century Gothic"/>
                <w:bCs/>
                <w:color w:val="000000" w:themeColor="text1"/>
                <w:sz w:val="18"/>
                <w:szCs w:val="18"/>
              </w:rPr>
              <w:lastRenderedPageBreak/>
              <w:t xml:space="preserve">As </w:t>
            </w:r>
            <w:r w:rsidR="00F508DE" w:rsidRPr="008E781C">
              <w:rPr>
                <w:rFonts w:ascii="Century Gothic" w:hAnsi="Century Gothic"/>
                <w:bCs/>
                <w:color w:val="000000" w:themeColor="text1"/>
                <w:sz w:val="18"/>
                <w:szCs w:val="18"/>
              </w:rPr>
              <w:t xml:space="preserve">stated </w:t>
            </w:r>
            <w:r w:rsidRPr="008E781C">
              <w:rPr>
                <w:rFonts w:ascii="Century Gothic" w:hAnsi="Century Gothic"/>
                <w:bCs/>
                <w:color w:val="000000" w:themeColor="text1"/>
                <w:sz w:val="18"/>
                <w:szCs w:val="18"/>
              </w:rPr>
              <w:t xml:space="preserve">in Section II.2 </w:t>
            </w:r>
            <w:r w:rsidR="00F508DE" w:rsidRPr="008E781C">
              <w:rPr>
                <w:rFonts w:ascii="Century Gothic" w:hAnsi="Century Gothic"/>
                <w:bCs/>
                <w:color w:val="000000" w:themeColor="text1"/>
                <w:sz w:val="18"/>
                <w:szCs w:val="18"/>
              </w:rPr>
              <w:t>(</w:t>
            </w:r>
            <w:r w:rsidRPr="008E781C">
              <w:rPr>
                <w:rFonts w:ascii="Century Gothic" w:hAnsi="Century Gothic"/>
                <w:bCs/>
                <w:color w:val="000000" w:themeColor="text1"/>
                <w:sz w:val="18"/>
                <w:szCs w:val="18"/>
              </w:rPr>
              <w:t xml:space="preserve">‘Type of Investment’), specific certificates have to be presented to prove that the </w:t>
            </w:r>
            <w:r w:rsidRPr="008E781C">
              <w:rPr>
                <w:rFonts w:ascii="Century Gothic" w:hAnsi="Century Gothic"/>
                <w:bCs/>
                <w:color w:val="000000" w:themeColor="text1"/>
                <w:sz w:val="18"/>
                <w:szCs w:val="18"/>
              </w:rPr>
              <w:lastRenderedPageBreak/>
              <w:t xml:space="preserve">‘significant capital investment’ required by law to issue investors’ permits has been carried out. Such documents are presented </w:t>
            </w:r>
            <w:r w:rsidRPr="008E781C">
              <w:rPr>
                <w:rFonts w:ascii="Century Gothic" w:hAnsi="Century Gothic"/>
                <w:b/>
                <w:bCs/>
                <w:color w:val="000000" w:themeColor="text1"/>
                <w:sz w:val="18"/>
                <w:szCs w:val="18"/>
              </w:rPr>
              <w:t>at the time of submission of the application</w:t>
            </w:r>
            <w:r w:rsidRPr="008E781C">
              <w:rPr>
                <w:rFonts w:ascii="Century Gothic" w:hAnsi="Century Gothic"/>
                <w:bCs/>
                <w:color w:val="000000" w:themeColor="text1"/>
                <w:sz w:val="18"/>
                <w:szCs w:val="18"/>
              </w:rPr>
              <w:t xml:space="preserve"> and, thus, examined in the procedure of issuance of the respective permit.</w:t>
            </w:r>
          </w:p>
          <w:p w14:paraId="7DFA84C0" w14:textId="0EC3C81E" w:rsidR="00842F1F" w:rsidRPr="008E781C" w:rsidRDefault="00842F1F" w:rsidP="005B56C1">
            <w:pPr>
              <w:jc w:val="both"/>
              <w:rPr>
                <w:rFonts w:ascii="Century Gothic" w:hAnsi="Century Gothic"/>
                <w:bCs/>
                <w:sz w:val="18"/>
                <w:szCs w:val="18"/>
              </w:rPr>
            </w:pPr>
          </w:p>
          <w:p w14:paraId="07E0DEE0" w14:textId="07FACC0E" w:rsidR="00842F1F" w:rsidRPr="008E781C" w:rsidRDefault="00842F1F" w:rsidP="005B56C1">
            <w:pPr>
              <w:jc w:val="both"/>
              <w:rPr>
                <w:rFonts w:ascii="Century Gothic" w:hAnsi="Century Gothic"/>
                <w:bCs/>
                <w:sz w:val="18"/>
                <w:szCs w:val="18"/>
              </w:rPr>
            </w:pPr>
            <w:r w:rsidRPr="008E781C">
              <w:rPr>
                <w:rFonts w:ascii="Century Gothic" w:hAnsi="Century Gothic"/>
                <w:bCs/>
                <w:sz w:val="18"/>
                <w:szCs w:val="18"/>
              </w:rPr>
              <w:t>Law 10/2010</w:t>
            </w:r>
            <w:r w:rsidR="00D65278" w:rsidRPr="008E781C">
              <w:rPr>
                <w:rFonts w:ascii="Century Gothic" w:hAnsi="Century Gothic"/>
                <w:bCs/>
                <w:sz w:val="18"/>
                <w:szCs w:val="18"/>
              </w:rPr>
              <w:t xml:space="preserve"> also</w:t>
            </w:r>
            <w:r w:rsidRPr="008E781C">
              <w:rPr>
                <w:rFonts w:ascii="Century Gothic" w:hAnsi="Century Gothic"/>
                <w:bCs/>
                <w:sz w:val="18"/>
                <w:szCs w:val="18"/>
              </w:rPr>
              <w:t xml:space="preserve"> provides that the customer due diligence measures, including on the source of the funds, will be carried out </w:t>
            </w:r>
            <w:r w:rsidRPr="008E781C">
              <w:rPr>
                <w:rFonts w:ascii="Century Gothic" w:hAnsi="Century Gothic"/>
                <w:b/>
                <w:bCs/>
                <w:sz w:val="18"/>
                <w:szCs w:val="18"/>
              </w:rPr>
              <w:t>before establishing the business relationship</w:t>
            </w:r>
            <w:r w:rsidRPr="008E781C">
              <w:rPr>
                <w:rFonts w:ascii="Century Gothic" w:hAnsi="Century Gothic"/>
                <w:bCs/>
                <w:sz w:val="18"/>
                <w:szCs w:val="18"/>
              </w:rPr>
              <w:t>.</w:t>
            </w:r>
            <w:r w:rsidRPr="008E781C">
              <w:rPr>
                <w:rStyle w:val="FootnoteReference"/>
                <w:rFonts w:ascii="Century Gothic" w:hAnsi="Century Gothic"/>
                <w:bCs/>
                <w:sz w:val="18"/>
                <w:szCs w:val="18"/>
              </w:rPr>
              <w:footnoteReference w:id="267"/>
            </w:r>
            <w:r w:rsidRPr="008E781C">
              <w:rPr>
                <w:rFonts w:ascii="Century Gothic" w:hAnsi="Century Gothic"/>
                <w:bCs/>
                <w:sz w:val="18"/>
                <w:szCs w:val="18"/>
              </w:rPr>
              <w:t xml:space="preserve"> Th</w:t>
            </w:r>
            <w:r w:rsidR="00D65278" w:rsidRPr="008E781C">
              <w:rPr>
                <w:rFonts w:ascii="Century Gothic" w:hAnsi="Century Gothic"/>
                <w:bCs/>
                <w:sz w:val="18"/>
                <w:szCs w:val="18"/>
              </w:rPr>
              <w:t>us</w:t>
            </w:r>
            <w:r w:rsidRPr="008E781C">
              <w:rPr>
                <w:rFonts w:ascii="Century Gothic" w:hAnsi="Century Gothic"/>
                <w:bCs/>
                <w:sz w:val="18"/>
                <w:szCs w:val="18"/>
              </w:rPr>
              <w:t>, before the investment is carried out, the authorities competent to issue the corresponding certificate on the fulfilment of the investment requirement (see table in Section II.2 of this Report) will have to verify the lawfulness of the source of the funds.</w:t>
            </w:r>
          </w:p>
          <w:p w14:paraId="2C71CA69" w14:textId="246EE840" w:rsidR="00842F1F" w:rsidRPr="008E781C" w:rsidRDefault="00842F1F" w:rsidP="005B56C1">
            <w:pPr>
              <w:jc w:val="both"/>
              <w:rPr>
                <w:rFonts w:ascii="Century Gothic" w:hAnsi="Century Gothic"/>
                <w:bCs/>
                <w:sz w:val="18"/>
                <w:szCs w:val="18"/>
              </w:rPr>
            </w:pPr>
          </w:p>
          <w:p w14:paraId="0AFBB9B1" w14:textId="77777777" w:rsidR="00593496" w:rsidRPr="008E781C" w:rsidRDefault="00842F1F" w:rsidP="005B56C1">
            <w:pPr>
              <w:jc w:val="both"/>
              <w:rPr>
                <w:rFonts w:ascii="Century Gothic" w:hAnsi="Century Gothic"/>
                <w:bCs/>
                <w:sz w:val="18"/>
                <w:szCs w:val="18"/>
              </w:rPr>
            </w:pPr>
            <w:r w:rsidRPr="008E781C">
              <w:rPr>
                <w:rFonts w:ascii="Century Gothic" w:hAnsi="Century Gothic"/>
                <w:b/>
                <w:bCs/>
                <w:sz w:val="18"/>
                <w:szCs w:val="18"/>
              </w:rPr>
              <w:t>Ex-post checks</w:t>
            </w:r>
            <w:r w:rsidRPr="008E781C">
              <w:rPr>
                <w:rFonts w:ascii="Century Gothic" w:hAnsi="Century Gothic"/>
                <w:bCs/>
                <w:sz w:val="18"/>
                <w:szCs w:val="18"/>
              </w:rPr>
              <w:t xml:space="preserve"> are </w:t>
            </w:r>
            <w:r w:rsidR="005B56C1" w:rsidRPr="008E781C">
              <w:rPr>
                <w:rFonts w:ascii="Century Gothic" w:hAnsi="Century Gothic"/>
                <w:bCs/>
                <w:sz w:val="18"/>
                <w:szCs w:val="18"/>
              </w:rPr>
              <w:t>covered in the last column</w:t>
            </w:r>
            <w:r w:rsidR="00593496" w:rsidRPr="008E781C">
              <w:rPr>
                <w:rFonts w:ascii="Century Gothic" w:hAnsi="Century Gothic"/>
                <w:bCs/>
                <w:sz w:val="18"/>
                <w:szCs w:val="18"/>
              </w:rPr>
              <w:t>.</w:t>
            </w:r>
          </w:p>
          <w:p w14:paraId="40395419" w14:textId="77777777" w:rsidR="00842F1F" w:rsidRPr="008E781C" w:rsidRDefault="00842F1F" w:rsidP="005B56C1">
            <w:pPr>
              <w:jc w:val="both"/>
              <w:rPr>
                <w:rFonts w:ascii="Century Gothic" w:hAnsi="Century Gothic"/>
                <w:bCs/>
                <w:sz w:val="18"/>
                <w:szCs w:val="18"/>
              </w:rPr>
            </w:pPr>
          </w:p>
          <w:p w14:paraId="21DAD873" w14:textId="4CF64F18" w:rsidR="00842F1F" w:rsidRPr="008E781C" w:rsidRDefault="00842F1F" w:rsidP="005B56C1">
            <w:pPr>
              <w:jc w:val="both"/>
              <w:rPr>
                <w:rFonts w:ascii="Century Gothic" w:hAnsi="Century Gothic"/>
                <w:bCs/>
                <w:sz w:val="18"/>
                <w:szCs w:val="18"/>
              </w:rPr>
            </w:pPr>
            <w:r w:rsidRPr="008E781C">
              <w:rPr>
                <w:rFonts w:ascii="Century Gothic" w:hAnsi="Century Gothic"/>
                <w:bCs/>
                <w:sz w:val="18"/>
                <w:szCs w:val="18"/>
              </w:rPr>
              <w:t xml:space="preserve">Since making a ‘significant capital investment’ is a </w:t>
            </w:r>
            <w:r w:rsidRPr="008E781C">
              <w:rPr>
                <w:rFonts w:ascii="Century Gothic" w:hAnsi="Century Gothic"/>
                <w:bCs/>
                <w:i/>
                <w:sz w:val="18"/>
                <w:szCs w:val="18"/>
              </w:rPr>
              <w:t xml:space="preserve">conditio sine qua non </w:t>
            </w:r>
            <w:r w:rsidRPr="008E781C">
              <w:rPr>
                <w:rFonts w:ascii="Century Gothic" w:hAnsi="Century Gothic"/>
                <w:bCs/>
                <w:sz w:val="18"/>
                <w:szCs w:val="18"/>
              </w:rPr>
              <w:t>to issue the corresponding permit, the failure to</w:t>
            </w:r>
            <w:r w:rsidR="003F4746" w:rsidRPr="008E781C">
              <w:rPr>
                <w:rFonts w:ascii="Century Gothic" w:hAnsi="Century Gothic"/>
                <w:bCs/>
                <w:sz w:val="18"/>
                <w:szCs w:val="18"/>
              </w:rPr>
              <w:t xml:space="preserve"> </w:t>
            </w:r>
            <w:r w:rsidRPr="008E781C">
              <w:rPr>
                <w:rFonts w:ascii="Century Gothic" w:hAnsi="Century Gothic"/>
                <w:bCs/>
                <w:sz w:val="18"/>
                <w:szCs w:val="18"/>
              </w:rPr>
              <w:t>fulfil this requirement will justify the rejection of the application and, thus, non-issuance of the corresponding permit.</w:t>
            </w:r>
            <w:r w:rsidRPr="008E781C">
              <w:rPr>
                <w:rFonts w:ascii="Century Gothic" w:hAnsi="Century Gothic"/>
                <w:bCs/>
                <w:sz w:val="18"/>
                <w:szCs w:val="18"/>
                <w:vertAlign w:val="superscript"/>
              </w:rPr>
              <w:footnoteReference w:id="268"/>
            </w:r>
          </w:p>
        </w:tc>
        <w:tc>
          <w:tcPr>
            <w:tcW w:w="1474" w:type="pct"/>
            <w:shd w:val="clear" w:color="auto" w:fill="D9D9D9" w:themeFill="background1" w:themeFillShade="D9"/>
          </w:tcPr>
          <w:p w14:paraId="6B4FFF6B" w14:textId="15E6A361" w:rsidR="00842F1F" w:rsidRPr="008E781C" w:rsidRDefault="00842F1F" w:rsidP="005B56C1">
            <w:pPr>
              <w:jc w:val="both"/>
              <w:rPr>
                <w:rFonts w:ascii="Century Gothic" w:hAnsi="Century Gothic"/>
                <w:bCs/>
                <w:sz w:val="18"/>
                <w:szCs w:val="18"/>
              </w:rPr>
            </w:pPr>
            <w:r w:rsidRPr="008E781C">
              <w:rPr>
                <w:rFonts w:ascii="Century Gothic" w:hAnsi="Century Gothic"/>
                <w:bCs/>
                <w:sz w:val="18"/>
                <w:szCs w:val="18"/>
              </w:rPr>
              <w:lastRenderedPageBreak/>
              <w:t>The competent authorities are the same as the ones listed above.</w:t>
            </w:r>
            <w:r w:rsidR="0084042D" w:rsidRPr="008E781C">
              <w:rPr>
                <w:rFonts w:ascii="Century Gothic" w:hAnsi="Century Gothic"/>
                <w:bCs/>
                <w:sz w:val="18"/>
                <w:szCs w:val="18"/>
              </w:rPr>
              <w:t xml:space="preserve"> </w:t>
            </w:r>
            <w:r w:rsidRPr="008E781C">
              <w:rPr>
                <w:rFonts w:ascii="Century Gothic" w:hAnsi="Century Gothic"/>
                <w:bCs/>
                <w:sz w:val="18"/>
                <w:szCs w:val="18"/>
              </w:rPr>
              <w:t xml:space="preserve">In addition, the </w:t>
            </w:r>
            <w:r w:rsidRPr="008E781C">
              <w:rPr>
                <w:rFonts w:ascii="Century Gothic" w:hAnsi="Century Gothic"/>
                <w:bCs/>
                <w:sz w:val="18"/>
                <w:szCs w:val="18"/>
              </w:rPr>
              <w:lastRenderedPageBreak/>
              <w:t xml:space="preserve">following entities </w:t>
            </w:r>
            <w:r w:rsidR="00D65278" w:rsidRPr="008E781C">
              <w:rPr>
                <w:rFonts w:ascii="Century Gothic" w:hAnsi="Century Gothic"/>
                <w:bCs/>
                <w:sz w:val="18"/>
                <w:szCs w:val="18"/>
              </w:rPr>
              <w:t>are</w:t>
            </w:r>
            <w:r w:rsidRPr="008E781C">
              <w:rPr>
                <w:rFonts w:ascii="Century Gothic" w:hAnsi="Century Gothic"/>
                <w:bCs/>
                <w:sz w:val="18"/>
                <w:szCs w:val="18"/>
              </w:rPr>
              <w:t xml:space="preserve"> </w:t>
            </w:r>
            <w:r w:rsidRPr="008E781C">
              <w:rPr>
                <w:rFonts w:ascii="Century Gothic" w:hAnsi="Century Gothic"/>
                <w:b/>
                <w:bCs/>
                <w:sz w:val="18"/>
                <w:szCs w:val="18"/>
              </w:rPr>
              <w:t>competent to issue the corresponding certificate</w:t>
            </w:r>
            <w:r w:rsidRPr="008E781C">
              <w:rPr>
                <w:rFonts w:ascii="Century Gothic" w:hAnsi="Century Gothic"/>
                <w:bCs/>
                <w:sz w:val="18"/>
                <w:szCs w:val="18"/>
              </w:rPr>
              <w:t xml:space="preserve"> verifying that the corresponding investment has been carried out</w:t>
            </w:r>
            <w:r w:rsidR="00B3638E" w:rsidRPr="008E781C">
              <w:rPr>
                <w:rFonts w:ascii="Century Gothic" w:hAnsi="Century Gothic"/>
                <w:bCs/>
                <w:sz w:val="18"/>
                <w:szCs w:val="18"/>
              </w:rPr>
              <w:t xml:space="preserve"> and meets the legal requirements</w:t>
            </w:r>
            <w:r w:rsidRPr="008E781C">
              <w:rPr>
                <w:rFonts w:ascii="Century Gothic" w:hAnsi="Century Gothic"/>
                <w:bCs/>
                <w:sz w:val="18"/>
                <w:szCs w:val="18"/>
              </w:rPr>
              <w:t>:</w:t>
            </w:r>
            <w:r w:rsidRPr="008E781C">
              <w:rPr>
                <w:rFonts w:ascii="Century Gothic" w:hAnsi="Century Gothic"/>
                <w:bCs/>
                <w:sz w:val="18"/>
                <w:szCs w:val="18"/>
                <w:vertAlign w:val="superscript"/>
              </w:rPr>
              <w:footnoteReference w:id="269"/>
            </w:r>
          </w:p>
          <w:p w14:paraId="7706A76D" w14:textId="77777777" w:rsidR="00842F1F" w:rsidRPr="008E781C" w:rsidRDefault="00842F1F" w:rsidP="003F4746">
            <w:pPr>
              <w:numPr>
                <w:ilvl w:val="0"/>
                <w:numId w:val="52"/>
              </w:numPr>
              <w:ind w:left="463" w:hanging="426"/>
              <w:jc w:val="both"/>
              <w:rPr>
                <w:rFonts w:ascii="Century Gothic" w:hAnsi="Century Gothic"/>
                <w:bCs/>
                <w:sz w:val="18"/>
                <w:szCs w:val="18"/>
              </w:rPr>
            </w:pPr>
            <w:r w:rsidRPr="008E781C">
              <w:rPr>
                <w:rFonts w:ascii="Century Gothic" w:hAnsi="Century Gothic"/>
                <w:bCs/>
                <w:sz w:val="18"/>
                <w:szCs w:val="18"/>
              </w:rPr>
              <w:t xml:space="preserve">Ministry of Economy and Competitiveness (General Directorate, </w:t>
            </w:r>
          </w:p>
          <w:p w14:paraId="5551EEAB" w14:textId="77777777" w:rsidR="00842F1F" w:rsidRPr="00626E2C" w:rsidRDefault="00842F1F" w:rsidP="003F4746">
            <w:pPr>
              <w:numPr>
                <w:ilvl w:val="0"/>
                <w:numId w:val="52"/>
              </w:numPr>
              <w:ind w:left="463" w:hanging="426"/>
              <w:jc w:val="both"/>
              <w:rPr>
                <w:rFonts w:ascii="Century Gothic" w:hAnsi="Century Gothic"/>
                <w:bCs/>
                <w:sz w:val="18"/>
                <w:szCs w:val="18"/>
                <w:lang w:val="es-ES"/>
              </w:rPr>
            </w:pPr>
            <w:r w:rsidRPr="00626E2C">
              <w:rPr>
                <w:rFonts w:ascii="Century Gothic" w:hAnsi="Century Gothic"/>
                <w:bCs/>
                <w:sz w:val="18"/>
                <w:szCs w:val="18"/>
                <w:lang w:val="es-ES"/>
              </w:rPr>
              <w:t>the National Securities Market Commission (</w:t>
            </w:r>
            <w:r w:rsidRPr="00626E2C">
              <w:rPr>
                <w:rFonts w:ascii="Century Gothic" w:hAnsi="Century Gothic"/>
                <w:bCs/>
                <w:i/>
                <w:sz w:val="18"/>
                <w:szCs w:val="18"/>
                <w:lang w:val="es-ES"/>
              </w:rPr>
              <w:t>Comisión Nacional del Mercado de Valores</w:t>
            </w:r>
            <w:r w:rsidRPr="00626E2C">
              <w:rPr>
                <w:rFonts w:ascii="Century Gothic" w:hAnsi="Century Gothic"/>
                <w:bCs/>
                <w:sz w:val="18"/>
                <w:szCs w:val="18"/>
                <w:lang w:val="es-ES"/>
              </w:rPr>
              <w:t>, CNMV)</w:t>
            </w:r>
          </w:p>
          <w:p w14:paraId="433DE984" w14:textId="77777777" w:rsidR="00842F1F" w:rsidRPr="008E781C" w:rsidRDefault="00842F1F" w:rsidP="003F4746">
            <w:pPr>
              <w:numPr>
                <w:ilvl w:val="0"/>
                <w:numId w:val="52"/>
              </w:numPr>
              <w:ind w:left="463" w:hanging="426"/>
              <w:jc w:val="both"/>
              <w:rPr>
                <w:rFonts w:ascii="Century Gothic" w:hAnsi="Century Gothic"/>
                <w:bCs/>
                <w:sz w:val="18"/>
                <w:szCs w:val="18"/>
              </w:rPr>
            </w:pPr>
            <w:r w:rsidRPr="008E781C">
              <w:rPr>
                <w:rFonts w:ascii="Century Gothic" w:hAnsi="Century Gothic"/>
                <w:bCs/>
                <w:sz w:val="18"/>
                <w:szCs w:val="18"/>
              </w:rPr>
              <w:t>the National Central Bank – Bank of Spain (</w:t>
            </w:r>
            <w:r w:rsidRPr="008E781C">
              <w:rPr>
                <w:rFonts w:ascii="Century Gothic" w:hAnsi="Century Gothic"/>
                <w:bCs/>
                <w:i/>
                <w:sz w:val="18"/>
                <w:szCs w:val="18"/>
              </w:rPr>
              <w:t>Banco de España</w:t>
            </w:r>
            <w:r w:rsidRPr="008E781C">
              <w:rPr>
                <w:rFonts w:ascii="Century Gothic" w:hAnsi="Century Gothic"/>
                <w:bCs/>
                <w:sz w:val="18"/>
                <w:szCs w:val="18"/>
              </w:rPr>
              <w:t xml:space="preserve">), </w:t>
            </w:r>
          </w:p>
          <w:p w14:paraId="39344D29" w14:textId="77777777" w:rsidR="00842F1F" w:rsidRPr="008E781C" w:rsidRDefault="00842F1F" w:rsidP="003F4746">
            <w:pPr>
              <w:numPr>
                <w:ilvl w:val="0"/>
                <w:numId w:val="52"/>
              </w:numPr>
              <w:ind w:left="463" w:hanging="426"/>
              <w:jc w:val="both"/>
              <w:rPr>
                <w:rFonts w:ascii="Century Gothic" w:hAnsi="Century Gothic"/>
                <w:bCs/>
                <w:sz w:val="18"/>
                <w:szCs w:val="18"/>
              </w:rPr>
            </w:pPr>
            <w:r w:rsidRPr="008E781C">
              <w:rPr>
                <w:rFonts w:ascii="Century Gothic" w:hAnsi="Century Gothic"/>
                <w:bCs/>
                <w:sz w:val="18"/>
                <w:szCs w:val="18"/>
              </w:rPr>
              <w:t>the Property Registry (</w:t>
            </w:r>
            <w:r w:rsidRPr="008E781C">
              <w:rPr>
                <w:rFonts w:ascii="Century Gothic" w:hAnsi="Century Gothic"/>
                <w:bCs/>
                <w:i/>
                <w:sz w:val="18"/>
                <w:szCs w:val="18"/>
              </w:rPr>
              <w:t>Registro de la Propiedad</w:t>
            </w:r>
            <w:r w:rsidRPr="008E781C">
              <w:rPr>
                <w:rFonts w:ascii="Century Gothic" w:hAnsi="Century Gothic"/>
                <w:bCs/>
                <w:sz w:val="18"/>
                <w:szCs w:val="18"/>
              </w:rPr>
              <w:t>),</w:t>
            </w:r>
            <w:r w:rsidRPr="008E781C">
              <w:rPr>
                <w:rFonts w:ascii="Century Gothic" w:hAnsi="Century Gothic"/>
                <w:bCs/>
                <w:sz w:val="18"/>
                <w:szCs w:val="18"/>
                <w:vertAlign w:val="superscript"/>
              </w:rPr>
              <w:footnoteReference w:id="270"/>
            </w:r>
            <w:r w:rsidRPr="008E781C">
              <w:rPr>
                <w:rFonts w:ascii="Century Gothic" w:hAnsi="Century Gothic"/>
                <w:bCs/>
                <w:sz w:val="18"/>
                <w:szCs w:val="18"/>
              </w:rPr>
              <w:t xml:space="preserve"> or </w:t>
            </w:r>
          </w:p>
          <w:p w14:paraId="2156125C" w14:textId="77777777" w:rsidR="00842F1F" w:rsidRPr="008E781C" w:rsidRDefault="00842F1F" w:rsidP="003F4746">
            <w:pPr>
              <w:numPr>
                <w:ilvl w:val="0"/>
                <w:numId w:val="52"/>
              </w:numPr>
              <w:ind w:left="463" w:hanging="426"/>
              <w:jc w:val="both"/>
              <w:rPr>
                <w:rFonts w:ascii="Century Gothic" w:hAnsi="Century Gothic"/>
                <w:bCs/>
                <w:sz w:val="18"/>
                <w:szCs w:val="18"/>
              </w:rPr>
            </w:pPr>
            <w:r w:rsidRPr="008E781C">
              <w:rPr>
                <w:rFonts w:ascii="Century Gothic" w:hAnsi="Century Gothic"/>
                <w:bCs/>
                <w:sz w:val="18"/>
                <w:szCs w:val="18"/>
              </w:rPr>
              <w:t>an Economic and Commercial Office of Spain.</w:t>
            </w:r>
          </w:p>
          <w:p w14:paraId="63AE6886" w14:textId="10E7F332" w:rsidR="00842F1F" w:rsidRPr="008E781C" w:rsidRDefault="00842F1F" w:rsidP="003F4746">
            <w:pPr>
              <w:numPr>
                <w:ilvl w:val="0"/>
                <w:numId w:val="52"/>
              </w:numPr>
              <w:ind w:left="463" w:hanging="426"/>
              <w:jc w:val="both"/>
              <w:rPr>
                <w:rFonts w:ascii="Century Gothic" w:hAnsi="Century Gothic"/>
                <w:bCs/>
                <w:sz w:val="18"/>
                <w:szCs w:val="18"/>
              </w:rPr>
            </w:pPr>
            <w:r w:rsidRPr="008E781C">
              <w:rPr>
                <w:rFonts w:ascii="Century Gothic" w:hAnsi="Century Gothic"/>
                <w:bCs/>
                <w:sz w:val="18"/>
                <w:szCs w:val="18"/>
              </w:rPr>
              <w:t>Private entities can also be consulted: a financial intermediary registered with the CNMV when the investment is in traded shares, the financial institution when the investment is in public debt or a bank deposit, and a company managing the investment fund when the investment is in such funds.</w:t>
            </w:r>
          </w:p>
        </w:tc>
        <w:tc>
          <w:tcPr>
            <w:tcW w:w="732" w:type="pct"/>
            <w:vMerge/>
            <w:shd w:val="clear" w:color="auto" w:fill="D9D9D9" w:themeFill="background1" w:themeFillShade="D9"/>
          </w:tcPr>
          <w:p w14:paraId="34ECD816" w14:textId="77777777" w:rsidR="00842F1F" w:rsidRPr="008E781C" w:rsidRDefault="00842F1F" w:rsidP="005B56C1">
            <w:pPr>
              <w:jc w:val="both"/>
              <w:rPr>
                <w:rFonts w:ascii="Century Gothic" w:hAnsi="Century Gothic"/>
                <w:bCs/>
                <w:sz w:val="18"/>
                <w:szCs w:val="18"/>
              </w:rPr>
            </w:pPr>
          </w:p>
        </w:tc>
      </w:tr>
      <w:bookmarkEnd w:id="28"/>
    </w:tbl>
    <w:p w14:paraId="05C59DDF" w14:textId="77777777" w:rsidR="00B311A7" w:rsidRPr="008E781C" w:rsidRDefault="00B311A7" w:rsidP="00B311A7">
      <w:pPr>
        <w:rPr>
          <w:rFonts w:ascii="Century Gothic" w:hAnsi="Century Gothic"/>
        </w:rPr>
        <w:sectPr w:rsidR="00B311A7" w:rsidRPr="008E781C" w:rsidSect="00B02F25">
          <w:footerReference w:type="default" r:id="rId23"/>
          <w:pgSz w:w="16838" w:h="11906" w:orient="landscape"/>
          <w:pgMar w:top="1440" w:right="1440" w:bottom="1440" w:left="1440" w:header="708" w:footer="708" w:gutter="0"/>
          <w:cols w:space="708"/>
          <w:docGrid w:linePitch="360"/>
        </w:sectPr>
      </w:pPr>
    </w:p>
    <w:p w14:paraId="64E12702" w14:textId="738C6C45" w:rsidR="00B311A7" w:rsidRPr="008E781C" w:rsidRDefault="00B311A7" w:rsidP="00CC15CC">
      <w:pPr>
        <w:pStyle w:val="MH1nonumb"/>
        <w:numPr>
          <w:ilvl w:val="0"/>
          <w:numId w:val="10"/>
        </w:numPr>
        <w:spacing w:after="240"/>
        <w:ind w:left="426" w:hanging="284"/>
      </w:pPr>
      <w:bookmarkStart w:id="29" w:name="_Toc496025539"/>
      <w:bookmarkStart w:id="30" w:name="_Toc520923931"/>
      <w:r w:rsidRPr="008E781C">
        <w:lastRenderedPageBreak/>
        <w:t>RIGHTS GRANTED BY THE PERMITS</w:t>
      </w:r>
      <w:bookmarkEnd w:id="29"/>
      <w:bookmarkEnd w:id="30"/>
    </w:p>
    <w:p w14:paraId="2CA27096" w14:textId="6ABB5C20" w:rsidR="00B311A7" w:rsidRPr="008E781C" w:rsidRDefault="00B311A7" w:rsidP="00CC15CC">
      <w:pPr>
        <w:pStyle w:val="MH1"/>
        <w:pageBreakBefore w:val="0"/>
        <w:numPr>
          <w:ilvl w:val="0"/>
          <w:numId w:val="11"/>
        </w:numPr>
        <w:spacing w:after="0"/>
        <w:ind w:left="431" w:hanging="431"/>
      </w:pPr>
      <w:bookmarkStart w:id="31" w:name="_Toc520923932"/>
      <w:r w:rsidRPr="008E781C">
        <w:t>Rights granted to investors</w:t>
      </w:r>
      <w:bookmarkEnd w:id="31"/>
    </w:p>
    <w:p w14:paraId="56B2F83B" w14:textId="77777777" w:rsidR="00CC15CC" w:rsidRDefault="00CC15CC" w:rsidP="00CC15CC">
      <w:pPr>
        <w:pStyle w:val="MBT"/>
        <w:rPr>
          <w:lang w:val="en-GB"/>
        </w:rPr>
      </w:pPr>
    </w:p>
    <w:p w14:paraId="2D47DC17" w14:textId="069D2C23" w:rsidR="00D71726" w:rsidRPr="008E781C" w:rsidRDefault="00D71726" w:rsidP="00CC15CC">
      <w:pPr>
        <w:pStyle w:val="MBT"/>
        <w:rPr>
          <w:color w:val="000000" w:themeColor="text1"/>
          <w:lang w:val="en-GB"/>
        </w:rPr>
      </w:pPr>
      <w:r w:rsidRPr="008E781C">
        <w:rPr>
          <w:lang w:val="en-GB"/>
        </w:rPr>
        <w:t xml:space="preserve">Both the </w:t>
      </w:r>
      <w:r w:rsidR="00AC2B0D" w:rsidRPr="008E781C">
        <w:rPr>
          <w:lang w:val="en-GB"/>
        </w:rPr>
        <w:t>investors</w:t>
      </w:r>
      <w:r w:rsidRPr="008E781C">
        <w:rPr>
          <w:lang w:val="en-GB"/>
        </w:rPr>
        <w:t>’ residence</w:t>
      </w:r>
      <w:r w:rsidR="00AC2B0D" w:rsidRPr="008E781C">
        <w:rPr>
          <w:lang w:val="en-GB"/>
        </w:rPr>
        <w:t xml:space="preserve"> visa</w:t>
      </w:r>
      <w:r w:rsidRPr="008E781C">
        <w:rPr>
          <w:lang w:val="en-GB"/>
        </w:rPr>
        <w:t xml:space="preserve"> and the investors’ residence authorisation</w:t>
      </w:r>
      <w:r w:rsidR="00AC2B0D" w:rsidRPr="008E781C">
        <w:rPr>
          <w:lang w:val="en-GB"/>
        </w:rPr>
        <w:t xml:space="preserve"> grant the applicant the </w:t>
      </w:r>
      <w:r w:rsidR="00AC2B0D" w:rsidRPr="008E781C">
        <w:rPr>
          <w:b/>
          <w:lang w:val="en-GB"/>
        </w:rPr>
        <w:t xml:space="preserve">right to reside </w:t>
      </w:r>
      <w:r w:rsidR="00116C49" w:rsidRPr="008E781C">
        <w:rPr>
          <w:b/>
          <w:lang w:val="en-GB"/>
        </w:rPr>
        <w:t>and work</w:t>
      </w:r>
      <w:r w:rsidR="00116C49" w:rsidRPr="008E781C">
        <w:rPr>
          <w:lang w:val="en-GB"/>
        </w:rPr>
        <w:t xml:space="preserve"> </w:t>
      </w:r>
      <w:r w:rsidR="00AC2B0D" w:rsidRPr="008E781C">
        <w:rPr>
          <w:lang w:val="en-GB"/>
        </w:rPr>
        <w:t>in Spain</w:t>
      </w:r>
      <w:r w:rsidRPr="008E781C">
        <w:rPr>
          <w:lang w:val="en-GB"/>
        </w:rPr>
        <w:t>.</w:t>
      </w:r>
      <w:r w:rsidR="00116C49" w:rsidRPr="008E781C">
        <w:rPr>
          <w:rStyle w:val="FootnoteReference"/>
          <w:lang w:val="en-GB"/>
        </w:rPr>
        <w:footnoteReference w:id="271"/>
      </w:r>
      <w:r w:rsidRPr="008E781C">
        <w:rPr>
          <w:lang w:val="en-GB"/>
        </w:rPr>
        <w:t xml:space="preserve"> In addition, the rights of third-country nationals legally residing in Spain </w:t>
      </w:r>
      <w:r w:rsidR="008161DC" w:rsidRPr="008E781C">
        <w:rPr>
          <w:lang w:val="en-GB"/>
        </w:rPr>
        <w:t xml:space="preserve">(thus, including investors who hold the necessary permit, whether it is a visa or an authorisation) </w:t>
      </w:r>
      <w:r w:rsidRPr="008E781C">
        <w:rPr>
          <w:lang w:val="en-GB"/>
        </w:rPr>
        <w:t>are regulated in the Spanish law on aliens (Organic Law 4/2000).</w:t>
      </w:r>
      <w:r w:rsidRPr="008E781C">
        <w:rPr>
          <w:color w:val="000000" w:themeColor="text1"/>
          <w:lang w:val="en-GB"/>
        </w:rPr>
        <w:t xml:space="preserve"> In particular</w:t>
      </w:r>
      <w:r w:rsidR="004B7D62" w:rsidRPr="008E781C">
        <w:rPr>
          <w:color w:val="000000" w:themeColor="text1"/>
          <w:lang w:val="en-GB"/>
        </w:rPr>
        <w:t xml:space="preserve">, the following rights are recognised and granted </w:t>
      </w:r>
      <w:r w:rsidR="00905466" w:rsidRPr="008E781C">
        <w:rPr>
          <w:lang w:val="en-GB"/>
        </w:rPr>
        <w:t xml:space="preserve">under </w:t>
      </w:r>
      <w:r w:rsidR="004B7D62" w:rsidRPr="008E781C">
        <w:rPr>
          <w:lang w:val="en-GB"/>
        </w:rPr>
        <w:t>the same conditions as Spanish citizens</w:t>
      </w:r>
      <w:r w:rsidR="004B7D62" w:rsidRPr="008E781C">
        <w:rPr>
          <w:rStyle w:val="FootnoteReference"/>
          <w:lang w:val="en-GB"/>
        </w:rPr>
        <w:footnoteReference w:id="272"/>
      </w:r>
      <w:r w:rsidR="004B7D62" w:rsidRPr="008E781C">
        <w:rPr>
          <w:color w:val="000000" w:themeColor="text1"/>
          <w:lang w:val="en-GB"/>
        </w:rPr>
        <w:t>:</w:t>
      </w:r>
    </w:p>
    <w:p w14:paraId="64362C47" w14:textId="5C828F60" w:rsidR="004B7D62" w:rsidRPr="008E781C" w:rsidRDefault="004B7D62" w:rsidP="00E25ACA">
      <w:pPr>
        <w:pStyle w:val="MBT"/>
        <w:numPr>
          <w:ilvl w:val="0"/>
          <w:numId w:val="61"/>
        </w:numPr>
        <w:ind w:left="364"/>
        <w:rPr>
          <w:lang w:val="en-GB"/>
        </w:rPr>
      </w:pPr>
      <w:r w:rsidRPr="008E781C">
        <w:rPr>
          <w:lang w:val="en-GB"/>
        </w:rPr>
        <w:t xml:space="preserve">Right to </w:t>
      </w:r>
      <w:r w:rsidR="00905466" w:rsidRPr="008E781C">
        <w:rPr>
          <w:lang w:val="en-GB"/>
        </w:rPr>
        <w:t>obtain</w:t>
      </w:r>
      <w:r w:rsidRPr="008E781C">
        <w:rPr>
          <w:lang w:val="en-GB"/>
        </w:rPr>
        <w:t xml:space="preserve"> the necessary documentation certifying their </w:t>
      </w:r>
      <w:r w:rsidR="00905466" w:rsidRPr="008E781C">
        <w:rPr>
          <w:lang w:val="en-GB"/>
        </w:rPr>
        <w:t xml:space="preserve">identity </w:t>
      </w:r>
      <w:r w:rsidRPr="008E781C">
        <w:rPr>
          <w:lang w:val="en-GB"/>
        </w:rPr>
        <w:t xml:space="preserve">and that they are </w:t>
      </w:r>
      <w:r w:rsidR="00905466" w:rsidRPr="008E781C">
        <w:rPr>
          <w:lang w:val="en-GB"/>
        </w:rPr>
        <w:t>legally</w:t>
      </w:r>
      <w:r w:rsidRPr="008E781C">
        <w:rPr>
          <w:lang w:val="en-GB"/>
        </w:rPr>
        <w:t xml:space="preserve"> stay</w:t>
      </w:r>
      <w:r w:rsidR="00905466" w:rsidRPr="008E781C">
        <w:rPr>
          <w:lang w:val="en-GB"/>
        </w:rPr>
        <w:t>ing</w:t>
      </w:r>
      <w:r w:rsidRPr="008E781C">
        <w:rPr>
          <w:lang w:val="en-GB"/>
        </w:rPr>
        <w:t xml:space="preserve"> in Spain</w:t>
      </w:r>
      <w:r w:rsidRPr="008E781C">
        <w:rPr>
          <w:rStyle w:val="FootnoteReference"/>
          <w:lang w:val="en-GB"/>
        </w:rPr>
        <w:footnoteReference w:id="273"/>
      </w:r>
    </w:p>
    <w:p w14:paraId="45C20F7C" w14:textId="5066E126" w:rsidR="004B7D62" w:rsidRPr="008E781C" w:rsidRDefault="004B7D62" w:rsidP="00E25ACA">
      <w:pPr>
        <w:pStyle w:val="MBT"/>
        <w:numPr>
          <w:ilvl w:val="0"/>
          <w:numId w:val="61"/>
        </w:numPr>
        <w:ind w:left="364"/>
        <w:rPr>
          <w:lang w:val="en-GB"/>
        </w:rPr>
      </w:pPr>
      <w:r w:rsidRPr="008E781C">
        <w:rPr>
          <w:lang w:val="en-GB"/>
        </w:rPr>
        <w:t>Right to freedom of movement and establishment in the Spanish territory</w:t>
      </w:r>
      <w:r w:rsidRPr="008E781C">
        <w:rPr>
          <w:rStyle w:val="FootnoteReference"/>
          <w:lang w:val="en-GB"/>
        </w:rPr>
        <w:footnoteReference w:id="274"/>
      </w:r>
    </w:p>
    <w:p w14:paraId="137BC9C5" w14:textId="46CB183F" w:rsidR="004B7D62" w:rsidRPr="008E781C" w:rsidRDefault="004B7D62" w:rsidP="00E25ACA">
      <w:pPr>
        <w:pStyle w:val="MBT"/>
        <w:numPr>
          <w:ilvl w:val="0"/>
          <w:numId w:val="61"/>
        </w:numPr>
        <w:ind w:left="364"/>
        <w:rPr>
          <w:lang w:val="en-GB"/>
        </w:rPr>
      </w:pPr>
      <w:r w:rsidRPr="008E781C">
        <w:rPr>
          <w:lang w:val="en-GB"/>
        </w:rPr>
        <w:t>Right to participation in municipal elections and the right to an easy procedure to participate in the elections of their country of origin</w:t>
      </w:r>
      <w:r w:rsidRPr="008E781C">
        <w:rPr>
          <w:rStyle w:val="FootnoteReference"/>
          <w:lang w:val="en-GB"/>
        </w:rPr>
        <w:footnoteReference w:id="275"/>
      </w:r>
    </w:p>
    <w:p w14:paraId="184AC778" w14:textId="55B936EF" w:rsidR="004B7D62" w:rsidRPr="008E781C" w:rsidRDefault="004B7D62" w:rsidP="00E25ACA">
      <w:pPr>
        <w:pStyle w:val="MBT"/>
        <w:numPr>
          <w:ilvl w:val="0"/>
          <w:numId w:val="61"/>
        </w:numPr>
        <w:ind w:left="364"/>
        <w:rPr>
          <w:lang w:val="en-GB"/>
        </w:rPr>
      </w:pPr>
      <w:r w:rsidRPr="008E781C">
        <w:rPr>
          <w:lang w:val="en-GB"/>
        </w:rPr>
        <w:t>Freedom of assembly and demonstration</w:t>
      </w:r>
      <w:r w:rsidRPr="008E781C">
        <w:rPr>
          <w:rStyle w:val="FootnoteReference"/>
          <w:lang w:val="en-GB"/>
        </w:rPr>
        <w:footnoteReference w:id="276"/>
      </w:r>
    </w:p>
    <w:p w14:paraId="069DC009" w14:textId="74CC4E8A" w:rsidR="004B7D62" w:rsidRPr="008E781C" w:rsidRDefault="004B7D62" w:rsidP="00E25ACA">
      <w:pPr>
        <w:pStyle w:val="MBT"/>
        <w:numPr>
          <w:ilvl w:val="0"/>
          <w:numId w:val="61"/>
        </w:numPr>
        <w:ind w:left="364"/>
        <w:rPr>
          <w:lang w:val="en-GB"/>
        </w:rPr>
      </w:pPr>
      <w:r w:rsidRPr="008E781C">
        <w:rPr>
          <w:lang w:val="en-GB"/>
        </w:rPr>
        <w:t>Freedom of association</w:t>
      </w:r>
      <w:r w:rsidR="008161DC" w:rsidRPr="008E781C">
        <w:rPr>
          <w:rStyle w:val="FootnoteReference"/>
          <w:lang w:val="en-GB"/>
        </w:rPr>
        <w:footnoteReference w:id="277"/>
      </w:r>
      <w:r w:rsidRPr="008E781C">
        <w:rPr>
          <w:lang w:val="en-GB"/>
        </w:rPr>
        <w:t xml:space="preserve"> </w:t>
      </w:r>
    </w:p>
    <w:p w14:paraId="51864993" w14:textId="45BA0F3D" w:rsidR="004B7D62" w:rsidRPr="008E781C" w:rsidRDefault="004B7D62" w:rsidP="00E25ACA">
      <w:pPr>
        <w:pStyle w:val="MBT"/>
        <w:numPr>
          <w:ilvl w:val="0"/>
          <w:numId w:val="61"/>
        </w:numPr>
        <w:ind w:left="364"/>
        <w:rPr>
          <w:lang w:val="en-GB"/>
        </w:rPr>
      </w:pPr>
      <w:r w:rsidRPr="008E781C">
        <w:rPr>
          <w:lang w:val="en-GB"/>
        </w:rPr>
        <w:t>Right to education</w:t>
      </w:r>
      <w:r w:rsidR="008161DC" w:rsidRPr="008E781C">
        <w:rPr>
          <w:rStyle w:val="FootnoteReference"/>
          <w:lang w:val="en-GB"/>
        </w:rPr>
        <w:footnoteReference w:id="278"/>
      </w:r>
    </w:p>
    <w:p w14:paraId="36BF4F8C" w14:textId="0D55B75C" w:rsidR="004B7D62" w:rsidRPr="008E781C" w:rsidRDefault="004B7D62" w:rsidP="00E25ACA">
      <w:pPr>
        <w:pStyle w:val="MBT"/>
        <w:numPr>
          <w:ilvl w:val="0"/>
          <w:numId w:val="61"/>
        </w:numPr>
        <w:ind w:left="364"/>
        <w:rPr>
          <w:lang w:val="en-GB"/>
        </w:rPr>
      </w:pPr>
      <w:r w:rsidRPr="008E781C">
        <w:rPr>
          <w:lang w:val="en-GB"/>
        </w:rPr>
        <w:t xml:space="preserve">Right to work </w:t>
      </w:r>
      <w:r w:rsidR="008161DC" w:rsidRPr="008E781C">
        <w:rPr>
          <w:lang w:val="en-GB"/>
        </w:rPr>
        <w:t>(</w:t>
      </w:r>
      <w:r w:rsidR="00905466" w:rsidRPr="008E781C">
        <w:rPr>
          <w:lang w:val="en-GB"/>
        </w:rPr>
        <w:t>employed or self-employed</w:t>
      </w:r>
      <w:r w:rsidR="008161DC" w:rsidRPr="008E781C">
        <w:rPr>
          <w:lang w:val="en-GB"/>
        </w:rPr>
        <w:t>)</w:t>
      </w:r>
      <w:r w:rsidR="008161DC" w:rsidRPr="008E781C">
        <w:rPr>
          <w:rStyle w:val="FootnoteReference"/>
          <w:lang w:val="en-GB"/>
        </w:rPr>
        <w:footnoteReference w:id="279"/>
      </w:r>
    </w:p>
    <w:p w14:paraId="63511265" w14:textId="27290466" w:rsidR="004B7D62" w:rsidRPr="008E781C" w:rsidRDefault="004B7D62" w:rsidP="00E25ACA">
      <w:pPr>
        <w:pStyle w:val="MBT"/>
        <w:numPr>
          <w:ilvl w:val="0"/>
          <w:numId w:val="61"/>
        </w:numPr>
        <w:ind w:left="364"/>
        <w:rPr>
          <w:lang w:val="en-GB"/>
        </w:rPr>
      </w:pPr>
      <w:r w:rsidRPr="008E781C">
        <w:rPr>
          <w:lang w:val="en-GB"/>
        </w:rPr>
        <w:t>Freedom to join and form trade unions</w:t>
      </w:r>
      <w:r w:rsidR="008161DC" w:rsidRPr="008E781C">
        <w:rPr>
          <w:lang w:val="en-GB"/>
        </w:rPr>
        <w:t>/professional organizations</w:t>
      </w:r>
      <w:r w:rsidRPr="008E781C">
        <w:rPr>
          <w:lang w:val="en-GB"/>
        </w:rPr>
        <w:t xml:space="preserve"> and freedom to strike</w:t>
      </w:r>
      <w:r w:rsidR="008161DC" w:rsidRPr="008E781C">
        <w:rPr>
          <w:rStyle w:val="FootnoteReference"/>
          <w:lang w:val="en-GB"/>
        </w:rPr>
        <w:footnoteReference w:id="280"/>
      </w:r>
    </w:p>
    <w:p w14:paraId="058B323F" w14:textId="68E76CCB" w:rsidR="004B7D62" w:rsidRPr="008E781C" w:rsidRDefault="004B7D62" w:rsidP="00E25ACA">
      <w:pPr>
        <w:pStyle w:val="MBT"/>
        <w:numPr>
          <w:ilvl w:val="0"/>
          <w:numId w:val="61"/>
        </w:numPr>
        <w:ind w:left="364"/>
        <w:rPr>
          <w:lang w:val="en-GB"/>
        </w:rPr>
      </w:pPr>
      <w:r w:rsidRPr="008E781C">
        <w:rPr>
          <w:lang w:val="en-GB"/>
        </w:rPr>
        <w:t>Right to healthcare</w:t>
      </w:r>
      <w:r w:rsidR="008161DC" w:rsidRPr="008E781C">
        <w:rPr>
          <w:rStyle w:val="FootnoteReference"/>
          <w:lang w:val="en-GB"/>
        </w:rPr>
        <w:footnoteReference w:id="281"/>
      </w:r>
    </w:p>
    <w:p w14:paraId="363B68CF" w14:textId="467AABFC" w:rsidR="004B7D62" w:rsidRPr="008E781C" w:rsidRDefault="004B7D62" w:rsidP="00E25ACA">
      <w:pPr>
        <w:pStyle w:val="MBT"/>
        <w:numPr>
          <w:ilvl w:val="0"/>
          <w:numId w:val="61"/>
        </w:numPr>
        <w:ind w:left="364"/>
        <w:rPr>
          <w:lang w:val="en-GB"/>
        </w:rPr>
      </w:pPr>
      <w:r w:rsidRPr="008E781C">
        <w:rPr>
          <w:lang w:val="en-GB"/>
        </w:rPr>
        <w:t xml:space="preserve">Right to </w:t>
      </w:r>
      <w:r w:rsidR="008161DC" w:rsidRPr="008E781C">
        <w:rPr>
          <w:lang w:val="en-GB"/>
        </w:rPr>
        <w:t xml:space="preserve">the public subsidies on </w:t>
      </w:r>
      <w:r w:rsidRPr="008E781C">
        <w:rPr>
          <w:lang w:val="en-GB"/>
        </w:rPr>
        <w:t>housing</w:t>
      </w:r>
      <w:r w:rsidR="008161DC" w:rsidRPr="008E781C">
        <w:rPr>
          <w:rStyle w:val="FootnoteReference"/>
          <w:lang w:val="en-GB"/>
        </w:rPr>
        <w:footnoteReference w:id="282"/>
      </w:r>
    </w:p>
    <w:p w14:paraId="64351685" w14:textId="64EF2A52" w:rsidR="004B7D62" w:rsidRPr="008E781C" w:rsidRDefault="004B7D62" w:rsidP="00E25ACA">
      <w:pPr>
        <w:pStyle w:val="MBT"/>
        <w:numPr>
          <w:ilvl w:val="0"/>
          <w:numId w:val="61"/>
        </w:numPr>
        <w:ind w:left="364"/>
        <w:rPr>
          <w:lang w:val="en-GB"/>
        </w:rPr>
      </w:pPr>
      <w:r w:rsidRPr="008E781C">
        <w:rPr>
          <w:lang w:val="en-GB"/>
        </w:rPr>
        <w:t>Right to social services</w:t>
      </w:r>
      <w:r w:rsidR="008161DC" w:rsidRPr="008E781C">
        <w:rPr>
          <w:lang w:val="en-GB"/>
        </w:rPr>
        <w:t xml:space="preserve"> and to access the Social Security System</w:t>
      </w:r>
      <w:r w:rsidR="008161DC" w:rsidRPr="008E781C">
        <w:rPr>
          <w:rStyle w:val="FootnoteReference"/>
          <w:lang w:val="en-GB"/>
        </w:rPr>
        <w:footnoteReference w:id="283"/>
      </w:r>
    </w:p>
    <w:p w14:paraId="4D96C658" w14:textId="6E961A85" w:rsidR="00AC2B0D" w:rsidRPr="008E781C" w:rsidRDefault="00AC2B0D" w:rsidP="008E29F0">
      <w:pPr>
        <w:pStyle w:val="MBT"/>
        <w:rPr>
          <w:lang w:val="en-GB"/>
        </w:rPr>
      </w:pPr>
    </w:p>
    <w:p w14:paraId="0F84597B" w14:textId="77777777" w:rsidR="003E00B8" w:rsidRPr="008E781C" w:rsidRDefault="003E00B8" w:rsidP="008E29F0">
      <w:pPr>
        <w:pStyle w:val="MBT"/>
        <w:rPr>
          <w:lang w:val="en-GB"/>
        </w:rPr>
      </w:pPr>
    </w:p>
    <w:p w14:paraId="28BC9167" w14:textId="30A97AFF" w:rsidR="00B311A7" w:rsidRPr="008E781C" w:rsidRDefault="00B311A7" w:rsidP="005B56C1">
      <w:pPr>
        <w:pStyle w:val="MH1"/>
        <w:pageBreakBefore w:val="0"/>
        <w:spacing w:after="0"/>
        <w:ind w:left="431" w:hanging="431"/>
      </w:pPr>
      <w:bookmarkStart w:id="32" w:name="_Toc520923933"/>
      <w:r w:rsidRPr="008E781C">
        <w:t>Rights granted to the investors’ family members</w:t>
      </w:r>
      <w:bookmarkEnd w:id="32"/>
    </w:p>
    <w:p w14:paraId="70E04DCB" w14:textId="77777777" w:rsidR="00905466" w:rsidRPr="008E781C" w:rsidRDefault="00905466" w:rsidP="005B56C1">
      <w:pPr>
        <w:pStyle w:val="MBT"/>
        <w:rPr>
          <w:lang w:val="en-GB"/>
        </w:rPr>
      </w:pPr>
    </w:p>
    <w:p w14:paraId="295DE874" w14:textId="02D004B0" w:rsidR="008E29F0" w:rsidRPr="008E781C" w:rsidRDefault="00000FB0" w:rsidP="00905466">
      <w:pPr>
        <w:pStyle w:val="MBT"/>
        <w:rPr>
          <w:lang w:val="en-GB"/>
        </w:rPr>
      </w:pPr>
      <w:r w:rsidRPr="008E781C">
        <w:rPr>
          <w:lang w:val="en-GB"/>
        </w:rPr>
        <w:t xml:space="preserve">Family members </w:t>
      </w:r>
      <w:r w:rsidR="00745105" w:rsidRPr="008E781C">
        <w:rPr>
          <w:lang w:val="en-GB"/>
        </w:rPr>
        <w:t xml:space="preserve">are granted the same rights </w:t>
      </w:r>
      <w:r w:rsidR="00905466" w:rsidRPr="008E781C">
        <w:rPr>
          <w:lang w:val="en-GB"/>
        </w:rPr>
        <w:t xml:space="preserve">as </w:t>
      </w:r>
      <w:r w:rsidR="00745105" w:rsidRPr="008E781C">
        <w:rPr>
          <w:lang w:val="en-GB"/>
        </w:rPr>
        <w:t>the main applicants</w:t>
      </w:r>
      <w:r w:rsidR="008161DC" w:rsidRPr="008E781C">
        <w:rPr>
          <w:lang w:val="en-GB"/>
        </w:rPr>
        <w:t>.</w:t>
      </w:r>
      <w:r w:rsidR="00207EA4" w:rsidRPr="008E781C">
        <w:rPr>
          <w:rStyle w:val="FootnoteReference"/>
          <w:lang w:val="en-GB"/>
        </w:rPr>
        <w:footnoteReference w:id="284"/>
      </w:r>
      <w:r w:rsidRPr="008E781C">
        <w:rPr>
          <w:lang w:val="en-GB"/>
        </w:rPr>
        <w:t xml:space="preserve"> </w:t>
      </w:r>
    </w:p>
    <w:p w14:paraId="7938D5F6" w14:textId="77777777" w:rsidR="003E00B8" w:rsidRPr="008E781C" w:rsidRDefault="003E00B8" w:rsidP="00905466">
      <w:pPr>
        <w:pStyle w:val="MBT"/>
        <w:rPr>
          <w:lang w:val="en-GB"/>
        </w:rPr>
      </w:pPr>
    </w:p>
    <w:p w14:paraId="05E71AD7" w14:textId="473B9A9C" w:rsidR="00B311A7" w:rsidRPr="008E781C" w:rsidRDefault="00B311A7" w:rsidP="005B56C1">
      <w:pPr>
        <w:pStyle w:val="MH1"/>
        <w:pageBreakBefore w:val="0"/>
        <w:spacing w:after="0"/>
        <w:ind w:left="431" w:hanging="431"/>
      </w:pPr>
      <w:bookmarkStart w:id="33" w:name="_Toc520923934"/>
      <w:r w:rsidRPr="008E781C">
        <w:t>Other benefits</w:t>
      </w:r>
      <w:bookmarkEnd w:id="33"/>
      <w:r w:rsidRPr="008E781C">
        <w:t xml:space="preserve"> </w:t>
      </w:r>
    </w:p>
    <w:p w14:paraId="15D1C6FE" w14:textId="77777777" w:rsidR="00905466" w:rsidRPr="008E781C" w:rsidRDefault="00905466" w:rsidP="00905466">
      <w:pPr>
        <w:pStyle w:val="MBT"/>
        <w:rPr>
          <w:color w:val="000000" w:themeColor="text1"/>
          <w:lang w:val="en-GB"/>
        </w:rPr>
      </w:pPr>
    </w:p>
    <w:p w14:paraId="59E114E9" w14:textId="08370CE5" w:rsidR="00745105" w:rsidRPr="008E781C" w:rsidRDefault="00745105" w:rsidP="00905466">
      <w:pPr>
        <w:pStyle w:val="MBT"/>
        <w:rPr>
          <w:color w:val="000000" w:themeColor="text1"/>
          <w:lang w:val="en-GB"/>
        </w:rPr>
      </w:pPr>
      <w:r w:rsidRPr="008E781C">
        <w:rPr>
          <w:color w:val="000000" w:themeColor="text1"/>
          <w:lang w:val="en-GB"/>
        </w:rPr>
        <w:t>No other benefits were identified.</w:t>
      </w:r>
      <w:r w:rsidR="004B7D62" w:rsidRPr="008E781C">
        <w:rPr>
          <w:color w:val="000000" w:themeColor="text1"/>
          <w:lang w:val="en-GB"/>
        </w:rPr>
        <w:t xml:space="preserve"> Under the Spanish law on aliens, third-country nationals legally residing in Spain are subject to the same taxes as Spanish citizens</w:t>
      </w:r>
      <w:r w:rsidR="008161DC" w:rsidRPr="008E781C">
        <w:rPr>
          <w:color w:val="000000" w:themeColor="text1"/>
          <w:lang w:val="en-GB"/>
        </w:rPr>
        <w:t>, without prejudice to the international agreements on double taxation</w:t>
      </w:r>
      <w:r w:rsidR="004B7D62" w:rsidRPr="008E781C">
        <w:rPr>
          <w:color w:val="000000" w:themeColor="text1"/>
          <w:lang w:val="en-GB"/>
        </w:rPr>
        <w:t>.</w:t>
      </w:r>
      <w:r w:rsidR="00207EA4" w:rsidRPr="008E781C">
        <w:rPr>
          <w:rStyle w:val="FootnoteReference"/>
          <w:color w:val="000000" w:themeColor="text1"/>
          <w:lang w:val="en-GB"/>
        </w:rPr>
        <w:footnoteReference w:id="285"/>
      </w:r>
    </w:p>
    <w:p w14:paraId="4952AD73" w14:textId="77777777" w:rsidR="00B311A7" w:rsidRPr="008E781C" w:rsidRDefault="00B311A7" w:rsidP="003E00B8">
      <w:pPr>
        <w:pStyle w:val="MH1nonumb"/>
        <w:numPr>
          <w:ilvl w:val="0"/>
          <w:numId w:val="10"/>
        </w:numPr>
        <w:ind w:left="426" w:hanging="284"/>
      </w:pPr>
      <w:bookmarkStart w:id="34" w:name="_Toc496025540"/>
      <w:bookmarkStart w:id="35" w:name="_Toc520923935"/>
      <w:r w:rsidRPr="008E781C">
        <w:lastRenderedPageBreak/>
        <w:t>INTERACTION BETWEEN RESIDENCE AND CITIZENSHIP SCHEMES</w:t>
      </w:r>
      <w:bookmarkEnd w:id="34"/>
      <w:bookmarkEnd w:id="35"/>
    </w:p>
    <w:p w14:paraId="27D2E278" w14:textId="1211F9A1" w:rsidR="00E4486C" w:rsidRPr="008E781C" w:rsidRDefault="00332A37" w:rsidP="00E4486C">
      <w:pPr>
        <w:pStyle w:val="MBT"/>
        <w:rPr>
          <w:color w:val="000000" w:themeColor="text1"/>
          <w:lang w:val="en-GB"/>
        </w:rPr>
      </w:pPr>
      <w:r w:rsidRPr="008E781C">
        <w:rPr>
          <w:color w:val="000000" w:themeColor="text1"/>
          <w:lang w:val="en-GB"/>
        </w:rPr>
        <w:t xml:space="preserve">The rules introduced by Law 14/2013 do not modify </w:t>
      </w:r>
      <w:r w:rsidR="00905466" w:rsidRPr="008E781C">
        <w:rPr>
          <w:color w:val="000000" w:themeColor="text1"/>
          <w:lang w:val="en-GB"/>
        </w:rPr>
        <w:t xml:space="preserve">the rules </w:t>
      </w:r>
      <w:r w:rsidRPr="008E781C">
        <w:rPr>
          <w:color w:val="000000" w:themeColor="text1"/>
          <w:lang w:val="en-GB"/>
        </w:rPr>
        <w:t xml:space="preserve">on accession to </w:t>
      </w:r>
      <w:r w:rsidR="003F4746" w:rsidRPr="008E781C">
        <w:rPr>
          <w:color w:val="000000" w:themeColor="text1"/>
          <w:lang w:val="en-GB"/>
        </w:rPr>
        <w:t>citizenship</w:t>
      </w:r>
      <w:r w:rsidR="00EC27EF" w:rsidRPr="008E781C">
        <w:rPr>
          <w:color w:val="000000" w:themeColor="text1"/>
          <w:lang w:val="en-GB"/>
        </w:rPr>
        <w:t>.</w:t>
      </w:r>
      <w:r w:rsidRPr="008E781C">
        <w:rPr>
          <w:rStyle w:val="FootnoteReference"/>
          <w:color w:val="000000" w:themeColor="text1"/>
          <w:lang w:val="en-GB"/>
        </w:rPr>
        <w:footnoteReference w:id="286"/>
      </w:r>
      <w:r w:rsidR="0003129E" w:rsidRPr="008E781C">
        <w:rPr>
          <w:color w:val="000000" w:themeColor="text1"/>
          <w:lang w:val="en-GB"/>
        </w:rPr>
        <w:t xml:space="preserve"> Therefore, there is </w:t>
      </w:r>
      <w:r w:rsidR="0003129E" w:rsidRPr="008E781C">
        <w:rPr>
          <w:b/>
          <w:color w:val="000000" w:themeColor="text1"/>
          <w:lang w:val="en-GB"/>
        </w:rPr>
        <w:t>no specific programme</w:t>
      </w:r>
      <w:r w:rsidR="00A31FC2" w:rsidRPr="008E781C">
        <w:rPr>
          <w:b/>
          <w:color w:val="000000" w:themeColor="text1"/>
          <w:lang w:val="en-GB"/>
        </w:rPr>
        <w:t xml:space="preserve"> or route</w:t>
      </w:r>
      <w:r w:rsidR="0003129E" w:rsidRPr="008E781C">
        <w:rPr>
          <w:b/>
          <w:color w:val="000000" w:themeColor="text1"/>
          <w:lang w:val="en-GB"/>
        </w:rPr>
        <w:t xml:space="preserve"> for foreign investors to obtain Spanish </w:t>
      </w:r>
      <w:r w:rsidR="00905466" w:rsidRPr="008E781C">
        <w:rPr>
          <w:b/>
          <w:color w:val="000000" w:themeColor="text1"/>
          <w:lang w:val="en-GB"/>
        </w:rPr>
        <w:t xml:space="preserve">citizenship </w:t>
      </w:r>
      <w:r w:rsidR="0003129E" w:rsidRPr="008E781C">
        <w:rPr>
          <w:b/>
          <w:color w:val="000000" w:themeColor="text1"/>
          <w:lang w:val="en-GB"/>
        </w:rPr>
        <w:t xml:space="preserve">nor are the requirements for </w:t>
      </w:r>
      <w:r w:rsidR="00905466" w:rsidRPr="008E781C">
        <w:rPr>
          <w:b/>
          <w:color w:val="000000" w:themeColor="text1"/>
          <w:lang w:val="en-GB"/>
        </w:rPr>
        <w:t>obtaining citizenship</w:t>
      </w:r>
      <w:r w:rsidR="0003129E" w:rsidRPr="008E781C">
        <w:rPr>
          <w:b/>
          <w:color w:val="000000" w:themeColor="text1"/>
          <w:lang w:val="en-GB"/>
        </w:rPr>
        <w:t xml:space="preserve"> waived or in any way facilitated for foreign investors </w:t>
      </w:r>
      <w:r w:rsidR="00905466" w:rsidRPr="008E781C">
        <w:rPr>
          <w:b/>
          <w:color w:val="000000" w:themeColor="text1"/>
          <w:lang w:val="en-GB"/>
        </w:rPr>
        <w:t>holding</w:t>
      </w:r>
      <w:r w:rsidR="0003129E" w:rsidRPr="008E781C">
        <w:rPr>
          <w:b/>
          <w:color w:val="000000" w:themeColor="text1"/>
          <w:lang w:val="en-GB"/>
        </w:rPr>
        <w:t xml:space="preserve"> an investors’ residence permit</w:t>
      </w:r>
      <w:r w:rsidR="0003129E" w:rsidRPr="008E781C">
        <w:rPr>
          <w:color w:val="000000" w:themeColor="text1"/>
          <w:lang w:val="en-GB"/>
        </w:rPr>
        <w:t xml:space="preserve"> (whether a visa or an authorisation).</w:t>
      </w:r>
      <w:r w:rsidRPr="008E781C">
        <w:rPr>
          <w:color w:val="000000" w:themeColor="text1"/>
          <w:lang w:val="en-GB"/>
        </w:rPr>
        <w:t xml:space="preserve"> </w:t>
      </w:r>
      <w:r w:rsidR="004D0FAF" w:rsidRPr="008E781C">
        <w:rPr>
          <w:color w:val="000000" w:themeColor="text1"/>
          <w:lang w:val="en-GB"/>
        </w:rPr>
        <w:t>The</w:t>
      </w:r>
      <w:r w:rsidR="00E4486C" w:rsidRPr="008E781C">
        <w:rPr>
          <w:color w:val="000000" w:themeColor="text1"/>
          <w:lang w:val="en-GB"/>
        </w:rPr>
        <w:t xml:space="preserve"> general</w:t>
      </w:r>
      <w:r w:rsidR="004D0FAF" w:rsidRPr="008E781C">
        <w:rPr>
          <w:color w:val="000000" w:themeColor="text1"/>
          <w:lang w:val="en-GB"/>
        </w:rPr>
        <w:t xml:space="preserve"> rules on Spanish citizenship </w:t>
      </w:r>
      <w:r w:rsidR="00593496" w:rsidRPr="008E781C">
        <w:rPr>
          <w:color w:val="000000" w:themeColor="text1"/>
          <w:lang w:val="en-GB"/>
        </w:rPr>
        <w:t xml:space="preserve">set out </w:t>
      </w:r>
      <w:r w:rsidR="004D0FAF" w:rsidRPr="008E781C">
        <w:rPr>
          <w:color w:val="000000" w:themeColor="text1"/>
          <w:lang w:val="en-GB"/>
        </w:rPr>
        <w:t xml:space="preserve">in the </w:t>
      </w:r>
      <w:r w:rsidR="004D0FAF" w:rsidRPr="008E781C">
        <w:rPr>
          <w:b/>
          <w:color w:val="000000" w:themeColor="text1"/>
          <w:lang w:val="en-GB"/>
        </w:rPr>
        <w:t>Civil Code</w:t>
      </w:r>
      <w:r w:rsidR="004D0FAF" w:rsidRPr="008E781C">
        <w:rPr>
          <w:color w:val="000000" w:themeColor="text1"/>
          <w:lang w:val="en-GB"/>
        </w:rPr>
        <w:t xml:space="preserve"> (Fir</w:t>
      </w:r>
      <w:r w:rsidR="0003129E" w:rsidRPr="008E781C">
        <w:rPr>
          <w:color w:val="000000" w:themeColor="text1"/>
          <w:lang w:val="en-GB"/>
        </w:rPr>
        <w:t>s</w:t>
      </w:r>
      <w:r w:rsidR="004D0FAF" w:rsidRPr="008E781C">
        <w:rPr>
          <w:color w:val="000000" w:themeColor="text1"/>
          <w:lang w:val="en-GB"/>
        </w:rPr>
        <w:t>t Book, Title I)</w:t>
      </w:r>
      <w:r w:rsidR="00E4486C" w:rsidRPr="008E781C">
        <w:rPr>
          <w:color w:val="000000" w:themeColor="text1"/>
          <w:lang w:val="en-GB"/>
        </w:rPr>
        <w:t xml:space="preserve"> apply</w:t>
      </w:r>
      <w:r w:rsidR="004D0FAF" w:rsidRPr="008E781C">
        <w:rPr>
          <w:color w:val="000000" w:themeColor="text1"/>
          <w:lang w:val="en-GB"/>
        </w:rPr>
        <w:t>.</w:t>
      </w:r>
      <w:r w:rsidR="0003129E" w:rsidRPr="008E781C">
        <w:rPr>
          <w:rStyle w:val="FootnoteReference"/>
          <w:color w:val="000000" w:themeColor="text1"/>
          <w:lang w:val="en-GB"/>
        </w:rPr>
        <w:footnoteReference w:id="287"/>
      </w:r>
      <w:r w:rsidR="004D0FAF" w:rsidRPr="008E781C">
        <w:rPr>
          <w:color w:val="000000" w:themeColor="text1"/>
          <w:lang w:val="en-GB"/>
        </w:rPr>
        <w:t xml:space="preserve"> </w:t>
      </w:r>
    </w:p>
    <w:p w14:paraId="19AD45E8" w14:textId="77777777" w:rsidR="00E4486C" w:rsidRPr="008E781C" w:rsidRDefault="00E4486C" w:rsidP="00E4486C">
      <w:pPr>
        <w:pStyle w:val="MBT"/>
        <w:rPr>
          <w:color w:val="000000" w:themeColor="text1"/>
          <w:lang w:val="en-GB"/>
        </w:rPr>
      </w:pPr>
    </w:p>
    <w:p w14:paraId="33ABAFA7" w14:textId="757D7706" w:rsidR="000307F8" w:rsidRPr="008E781C" w:rsidRDefault="00E4486C" w:rsidP="00E4486C">
      <w:pPr>
        <w:pStyle w:val="MBT"/>
        <w:rPr>
          <w:color w:val="000000" w:themeColor="text1"/>
          <w:lang w:val="en-GB"/>
        </w:rPr>
      </w:pPr>
      <w:r w:rsidRPr="008E781C">
        <w:rPr>
          <w:color w:val="000000" w:themeColor="text1"/>
          <w:lang w:val="en-GB"/>
        </w:rPr>
        <w:t>In particular, since foreign investors can renew their residence authorisation for successive periods of five years,</w:t>
      </w:r>
      <w:r w:rsidRPr="008E781C">
        <w:rPr>
          <w:rStyle w:val="FootnoteReference"/>
          <w:color w:val="000000" w:themeColor="text1"/>
          <w:lang w:val="en-GB"/>
        </w:rPr>
        <w:footnoteReference w:id="288"/>
      </w:r>
      <w:r w:rsidRPr="008E781C">
        <w:rPr>
          <w:color w:val="000000" w:themeColor="text1"/>
          <w:lang w:val="en-GB"/>
        </w:rPr>
        <w:t xml:space="preserve"> they could apply for Spanish </w:t>
      </w:r>
      <w:r w:rsidR="00593496" w:rsidRPr="008E781C">
        <w:rPr>
          <w:color w:val="000000" w:themeColor="text1"/>
          <w:lang w:val="en-GB"/>
        </w:rPr>
        <w:t xml:space="preserve">citizenship </w:t>
      </w:r>
      <w:r w:rsidRPr="008E781C">
        <w:rPr>
          <w:b/>
          <w:color w:val="000000" w:themeColor="text1"/>
          <w:lang w:val="en-GB"/>
        </w:rPr>
        <w:t>when they</w:t>
      </w:r>
      <w:r w:rsidR="00016CE0" w:rsidRPr="008E781C">
        <w:rPr>
          <w:b/>
          <w:color w:val="000000" w:themeColor="text1"/>
          <w:lang w:val="en-GB"/>
        </w:rPr>
        <w:t xml:space="preserve"> ha</w:t>
      </w:r>
      <w:r w:rsidRPr="008E781C">
        <w:rPr>
          <w:b/>
          <w:color w:val="000000" w:themeColor="text1"/>
          <w:lang w:val="en-GB"/>
        </w:rPr>
        <w:t>ve</w:t>
      </w:r>
      <w:r w:rsidR="00016CE0" w:rsidRPr="008E781C">
        <w:rPr>
          <w:b/>
          <w:color w:val="000000" w:themeColor="text1"/>
          <w:lang w:val="en-GB"/>
        </w:rPr>
        <w:t xml:space="preserve"> resided in Spain </w:t>
      </w:r>
      <w:r w:rsidR="00593496" w:rsidRPr="008E781C">
        <w:rPr>
          <w:b/>
          <w:color w:val="000000" w:themeColor="text1"/>
          <w:lang w:val="en-GB"/>
        </w:rPr>
        <w:t>for</w:t>
      </w:r>
      <w:r w:rsidR="00016CE0" w:rsidRPr="008E781C">
        <w:rPr>
          <w:b/>
          <w:color w:val="000000" w:themeColor="text1"/>
          <w:lang w:val="en-GB"/>
        </w:rPr>
        <w:t xml:space="preserve"> at least </w:t>
      </w:r>
      <w:r w:rsidR="00BB4EC4" w:rsidRPr="008E781C">
        <w:rPr>
          <w:b/>
          <w:color w:val="000000" w:themeColor="text1"/>
          <w:lang w:val="en-GB"/>
        </w:rPr>
        <w:t xml:space="preserve">ten </w:t>
      </w:r>
      <w:r w:rsidR="00016CE0" w:rsidRPr="008E781C">
        <w:rPr>
          <w:b/>
          <w:color w:val="000000" w:themeColor="text1"/>
          <w:lang w:val="en-GB"/>
        </w:rPr>
        <w:t xml:space="preserve">years </w:t>
      </w:r>
      <w:r w:rsidR="00593496" w:rsidRPr="008E781C">
        <w:rPr>
          <w:b/>
          <w:color w:val="000000" w:themeColor="text1"/>
          <w:lang w:val="en-GB"/>
        </w:rPr>
        <w:t>immediately before the submission of the request</w:t>
      </w:r>
      <w:r w:rsidR="00593496" w:rsidRPr="008E781C" w:rsidDel="00593496">
        <w:rPr>
          <w:b/>
          <w:color w:val="000000" w:themeColor="text1"/>
          <w:lang w:val="en-GB"/>
        </w:rPr>
        <w:t xml:space="preserve"> </w:t>
      </w:r>
      <w:r w:rsidR="00593496" w:rsidRPr="008E781C">
        <w:rPr>
          <w:b/>
          <w:color w:val="000000" w:themeColor="text1"/>
          <w:lang w:val="en-GB"/>
        </w:rPr>
        <w:t xml:space="preserve">on </w:t>
      </w:r>
      <w:r w:rsidR="00016CE0" w:rsidRPr="008E781C">
        <w:rPr>
          <w:b/>
          <w:color w:val="000000" w:themeColor="text1"/>
          <w:lang w:val="en-GB"/>
        </w:rPr>
        <w:t xml:space="preserve">a legal and continuous </w:t>
      </w:r>
      <w:r w:rsidR="00593496" w:rsidRPr="008E781C">
        <w:rPr>
          <w:b/>
          <w:color w:val="000000" w:themeColor="text1"/>
          <w:lang w:val="en-GB"/>
        </w:rPr>
        <w:t>basis</w:t>
      </w:r>
      <w:r w:rsidR="00016CE0" w:rsidRPr="008E781C">
        <w:rPr>
          <w:color w:val="000000" w:themeColor="text1"/>
          <w:lang w:val="en-GB"/>
        </w:rPr>
        <w:t>.</w:t>
      </w:r>
      <w:r w:rsidR="000307F8" w:rsidRPr="008E781C">
        <w:rPr>
          <w:rStyle w:val="FootnoteReference"/>
          <w:bCs w:val="0"/>
          <w:color w:val="000000" w:themeColor="text1"/>
          <w:lang w:val="en-GB"/>
        </w:rPr>
        <w:footnoteReference w:id="289"/>
      </w:r>
      <w:r w:rsidRPr="008E781C">
        <w:rPr>
          <w:color w:val="000000" w:themeColor="text1"/>
          <w:lang w:val="en-GB"/>
        </w:rPr>
        <w:t xml:space="preserve"> This </w:t>
      </w:r>
      <w:r w:rsidR="000307F8" w:rsidRPr="008E781C">
        <w:rPr>
          <w:color w:val="000000" w:themeColor="text1"/>
          <w:lang w:val="en-GB"/>
        </w:rPr>
        <w:t>ten-year</w:t>
      </w:r>
      <w:r w:rsidRPr="008E781C">
        <w:rPr>
          <w:color w:val="000000" w:themeColor="text1"/>
          <w:lang w:val="en-GB"/>
        </w:rPr>
        <w:t xml:space="preserve"> period is reduced to</w:t>
      </w:r>
      <w:r w:rsidR="000307F8" w:rsidRPr="008E781C">
        <w:rPr>
          <w:color w:val="000000" w:themeColor="text1"/>
          <w:lang w:val="en-GB"/>
        </w:rPr>
        <w:t>:</w:t>
      </w:r>
      <w:r w:rsidR="000307F8" w:rsidRPr="008E781C">
        <w:rPr>
          <w:rStyle w:val="FootnoteReference"/>
          <w:bCs w:val="0"/>
          <w:color w:val="000000" w:themeColor="text1"/>
          <w:lang w:val="en-GB"/>
        </w:rPr>
        <w:footnoteReference w:id="290"/>
      </w:r>
      <w:r w:rsidR="000307F8" w:rsidRPr="008E781C">
        <w:rPr>
          <w:color w:val="000000" w:themeColor="text1"/>
          <w:lang w:val="en-GB"/>
        </w:rPr>
        <w:t xml:space="preserve"> </w:t>
      </w:r>
      <w:r w:rsidRPr="008E781C">
        <w:rPr>
          <w:color w:val="000000" w:themeColor="text1"/>
          <w:lang w:val="en-GB"/>
        </w:rPr>
        <w:t xml:space="preserve"> </w:t>
      </w:r>
    </w:p>
    <w:p w14:paraId="57776F26" w14:textId="17521D97" w:rsidR="000307F8" w:rsidRPr="008E781C" w:rsidRDefault="000307F8" w:rsidP="003E00B8">
      <w:pPr>
        <w:pStyle w:val="ListParagraph"/>
        <w:numPr>
          <w:ilvl w:val="1"/>
          <w:numId w:val="23"/>
        </w:numPr>
        <w:ind w:left="280" w:hanging="283"/>
        <w:rPr>
          <w:bCs/>
          <w:color w:val="000000" w:themeColor="text1"/>
          <w:szCs w:val="22"/>
        </w:rPr>
      </w:pPr>
      <w:r w:rsidRPr="008E781C">
        <w:rPr>
          <w:b/>
          <w:bCs/>
          <w:color w:val="000000" w:themeColor="text1"/>
          <w:szCs w:val="22"/>
        </w:rPr>
        <w:t>two years</w:t>
      </w:r>
      <w:r w:rsidRPr="008E781C">
        <w:rPr>
          <w:bCs/>
          <w:color w:val="000000" w:themeColor="text1"/>
          <w:szCs w:val="22"/>
        </w:rPr>
        <w:t>: for citizens of Ibero-American countries, Andorra, the Philippines, Equatorial Guinea, Portugal or Sephardi Jews</w:t>
      </w:r>
    </w:p>
    <w:p w14:paraId="17954AF8" w14:textId="52CCAA98" w:rsidR="006E791D" w:rsidRPr="008E781C" w:rsidRDefault="00E4486C" w:rsidP="003E00B8">
      <w:pPr>
        <w:pStyle w:val="ListParagraph"/>
        <w:numPr>
          <w:ilvl w:val="1"/>
          <w:numId w:val="23"/>
        </w:numPr>
        <w:ind w:left="280" w:hanging="283"/>
        <w:rPr>
          <w:bCs/>
          <w:color w:val="000000" w:themeColor="text1"/>
          <w:szCs w:val="22"/>
        </w:rPr>
      </w:pPr>
      <w:r w:rsidRPr="008E781C">
        <w:rPr>
          <w:b/>
          <w:color w:val="000000" w:themeColor="text1"/>
        </w:rPr>
        <w:t>one year</w:t>
      </w:r>
      <w:r w:rsidRPr="008E781C">
        <w:rPr>
          <w:color w:val="000000" w:themeColor="text1"/>
        </w:rPr>
        <w:t xml:space="preserve"> when </w:t>
      </w:r>
      <w:r w:rsidRPr="008E781C">
        <w:rPr>
          <w:bCs/>
          <w:color w:val="000000" w:themeColor="text1"/>
          <w:szCs w:val="22"/>
        </w:rPr>
        <w:t>at the time of the request,</w:t>
      </w:r>
      <w:r w:rsidRPr="008E781C">
        <w:rPr>
          <w:bCs/>
          <w:color w:val="000000" w:themeColor="text1"/>
        </w:rPr>
        <w:t xml:space="preserve"> the applicant</w:t>
      </w:r>
      <w:r w:rsidRPr="008E781C">
        <w:rPr>
          <w:bCs/>
          <w:color w:val="000000" w:themeColor="text1"/>
          <w:szCs w:val="22"/>
        </w:rPr>
        <w:t xml:space="preserve"> ha</w:t>
      </w:r>
      <w:r w:rsidRPr="008E781C">
        <w:rPr>
          <w:bCs/>
          <w:color w:val="000000" w:themeColor="text1"/>
        </w:rPr>
        <w:t>s</w:t>
      </w:r>
      <w:r w:rsidRPr="008E781C">
        <w:rPr>
          <w:bCs/>
          <w:color w:val="000000" w:themeColor="text1"/>
          <w:szCs w:val="22"/>
        </w:rPr>
        <w:t xml:space="preserve"> been married for </w:t>
      </w:r>
      <w:r w:rsidR="00593496" w:rsidRPr="008E781C">
        <w:rPr>
          <w:bCs/>
          <w:color w:val="000000" w:themeColor="text1"/>
          <w:szCs w:val="22"/>
        </w:rPr>
        <w:t xml:space="preserve">at least </w:t>
      </w:r>
      <w:r w:rsidRPr="008E781C">
        <w:rPr>
          <w:bCs/>
          <w:color w:val="000000" w:themeColor="text1"/>
          <w:szCs w:val="22"/>
        </w:rPr>
        <w:t>one year to a Spanish</w:t>
      </w:r>
      <w:r w:rsidR="00593496" w:rsidRPr="008E781C">
        <w:rPr>
          <w:bCs/>
          <w:color w:val="000000" w:themeColor="text1"/>
          <w:szCs w:val="22"/>
        </w:rPr>
        <w:t xml:space="preserve"> citizen</w:t>
      </w:r>
      <w:r w:rsidRPr="008E781C">
        <w:rPr>
          <w:bCs/>
          <w:color w:val="000000" w:themeColor="text1"/>
          <w:szCs w:val="22"/>
        </w:rPr>
        <w:t xml:space="preserve"> and is not legally or de facto separated</w:t>
      </w:r>
      <w:r w:rsidRPr="008E781C">
        <w:rPr>
          <w:bCs/>
          <w:color w:val="000000" w:themeColor="text1"/>
        </w:rPr>
        <w:t xml:space="preserve"> or </w:t>
      </w:r>
      <w:r w:rsidR="00593496" w:rsidRPr="008E781C">
        <w:rPr>
          <w:bCs/>
          <w:color w:val="000000" w:themeColor="text1"/>
        </w:rPr>
        <w:t>if the applicant is</w:t>
      </w:r>
      <w:r w:rsidRPr="008E781C">
        <w:rPr>
          <w:bCs/>
          <w:color w:val="000000" w:themeColor="text1"/>
        </w:rPr>
        <w:t xml:space="preserve"> the widow</w:t>
      </w:r>
      <w:r w:rsidR="00593496" w:rsidRPr="008E781C">
        <w:rPr>
          <w:bCs/>
          <w:color w:val="000000" w:themeColor="text1"/>
        </w:rPr>
        <w:t>/er</w:t>
      </w:r>
      <w:r w:rsidRPr="008E781C">
        <w:rPr>
          <w:bCs/>
          <w:color w:val="000000" w:themeColor="text1"/>
        </w:rPr>
        <w:t xml:space="preserve"> of a Spanish citizen </w:t>
      </w:r>
      <w:r w:rsidR="00593496" w:rsidRPr="008E781C">
        <w:rPr>
          <w:bCs/>
          <w:color w:val="000000" w:themeColor="text1"/>
          <w:szCs w:val="22"/>
        </w:rPr>
        <w:t xml:space="preserve">and </w:t>
      </w:r>
      <w:r w:rsidRPr="008E781C">
        <w:rPr>
          <w:bCs/>
          <w:color w:val="000000" w:themeColor="text1"/>
          <w:szCs w:val="22"/>
        </w:rPr>
        <w:t xml:space="preserve">at the time of the death of the spouse were not </w:t>
      </w:r>
      <w:r w:rsidR="00593496" w:rsidRPr="008E781C">
        <w:rPr>
          <w:bCs/>
          <w:color w:val="000000" w:themeColor="text1"/>
          <w:szCs w:val="22"/>
        </w:rPr>
        <w:t xml:space="preserve">legally or de facto </w:t>
      </w:r>
      <w:r w:rsidRPr="008E781C">
        <w:rPr>
          <w:bCs/>
          <w:color w:val="000000" w:themeColor="text1"/>
          <w:szCs w:val="22"/>
        </w:rPr>
        <w:t>separated</w:t>
      </w:r>
      <w:r w:rsidRPr="008E781C">
        <w:rPr>
          <w:bCs/>
          <w:color w:val="000000" w:themeColor="text1"/>
        </w:rPr>
        <w:t>.</w:t>
      </w:r>
    </w:p>
    <w:p w14:paraId="19B6F9C1" w14:textId="77777777" w:rsidR="00CD752C" w:rsidRPr="008E781C" w:rsidRDefault="00CD752C" w:rsidP="006E791D">
      <w:pPr>
        <w:ind w:left="1416"/>
        <w:jc w:val="both"/>
        <w:rPr>
          <w:bCs/>
          <w:color w:val="000000" w:themeColor="text1"/>
          <w:sz w:val="22"/>
          <w:szCs w:val="22"/>
        </w:rPr>
      </w:pPr>
    </w:p>
    <w:p w14:paraId="4A7397F5" w14:textId="759BA78D" w:rsidR="000307F8" w:rsidRPr="008E781C" w:rsidRDefault="00222EB0" w:rsidP="000307F8">
      <w:pPr>
        <w:jc w:val="both"/>
        <w:rPr>
          <w:bCs/>
          <w:color w:val="000000" w:themeColor="text1"/>
          <w:sz w:val="22"/>
          <w:szCs w:val="22"/>
        </w:rPr>
      </w:pPr>
      <w:r w:rsidRPr="008E781C">
        <w:rPr>
          <w:bCs/>
          <w:color w:val="000000" w:themeColor="text1"/>
          <w:sz w:val="22"/>
          <w:szCs w:val="22"/>
        </w:rPr>
        <w:t xml:space="preserve">In </w:t>
      </w:r>
      <w:r w:rsidR="000307F8" w:rsidRPr="008E781C">
        <w:rPr>
          <w:bCs/>
          <w:color w:val="000000" w:themeColor="text1"/>
          <w:sz w:val="22"/>
          <w:szCs w:val="22"/>
        </w:rPr>
        <w:t>these</w:t>
      </w:r>
      <w:r w:rsidRPr="008E781C">
        <w:rPr>
          <w:bCs/>
          <w:color w:val="000000" w:themeColor="text1"/>
          <w:sz w:val="22"/>
          <w:szCs w:val="22"/>
        </w:rPr>
        <w:t xml:space="preserve"> cases, the applicant must</w:t>
      </w:r>
      <w:r w:rsidR="000307F8" w:rsidRPr="008E781C">
        <w:rPr>
          <w:bCs/>
          <w:color w:val="000000" w:themeColor="text1"/>
          <w:sz w:val="22"/>
          <w:szCs w:val="22"/>
        </w:rPr>
        <w:t xml:space="preserve"> fulfil the following </w:t>
      </w:r>
      <w:r w:rsidR="000307F8" w:rsidRPr="008E781C">
        <w:rPr>
          <w:b/>
          <w:bCs/>
          <w:color w:val="000000" w:themeColor="text1"/>
          <w:sz w:val="22"/>
          <w:szCs w:val="22"/>
        </w:rPr>
        <w:t>requirements</w:t>
      </w:r>
      <w:r w:rsidR="000307F8" w:rsidRPr="008E781C">
        <w:rPr>
          <w:bCs/>
          <w:color w:val="000000" w:themeColor="text1"/>
          <w:sz w:val="22"/>
          <w:szCs w:val="22"/>
        </w:rPr>
        <w:t>:</w:t>
      </w:r>
      <w:r w:rsidR="000307F8" w:rsidRPr="008E781C">
        <w:rPr>
          <w:rStyle w:val="FootnoteReference"/>
          <w:bCs/>
          <w:color w:val="000000" w:themeColor="text1"/>
          <w:sz w:val="22"/>
          <w:szCs w:val="22"/>
        </w:rPr>
        <w:footnoteReference w:id="291"/>
      </w:r>
    </w:p>
    <w:p w14:paraId="47FE4749" w14:textId="0B6E7574" w:rsidR="006E791D" w:rsidRPr="008E781C" w:rsidRDefault="00222EB0" w:rsidP="003E00B8">
      <w:pPr>
        <w:pStyle w:val="ListParagraph"/>
        <w:numPr>
          <w:ilvl w:val="0"/>
          <w:numId w:val="24"/>
        </w:numPr>
        <w:ind w:left="364"/>
        <w:rPr>
          <w:bCs/>
          <w:color w:val="000000" w:themeColor="text1"/>
          <w:szCs w:val="22"/>
        </w:rPr>
      </w:pPr>
      <w:r w:rsidRPr="008E781C">
        <w:rPr>
          <w:bCs/>
          <w:color w:val="000000" w:themeColor="text1"/>
          <w:szCs w:val="22"/>
        </w:rPr>
        <w:t>justify</w:t>
      </w:r>
      <w:r w:rsidR="000307F8" w:rsidRPr="008E781C">
        <w:rPr>
          <w:bCs/>
          <w:color w:val="000000" w:themeColor="text1"/>
          <w:szCs w:val="22"/>
        </w:rPr>
        <w:t xml:space="preserve"> </w:t>
      </w:r>
      <w:r w:rsidRPr="008E781C">
        <w:rPr>
          <w:bCs/>
          <w:color w:val="000000" w:themeColor="text1"/>
          <w:szCs w:val="22"/>
        </w:rPr>
        <w:t>good civic conduct and sufficient degree of integration in Spanish society</w:t>
      </w:r>
      <w:r w:rsidR="000307F8" w:rsidRPr="008E781C">
        <w:rPr>
          <w:bCs/>
          <w:color w:val="000000" w:themeColor="text1"/>
          <w:szCs w:val="22"/>
        </w:rPr>
        <w:t>;</w:t>
      </w:r>
    </w:p>
    <w:p w14:paraId="37E900FE" w14:textId="36AC1EFF" w:rsidR="006E791D" w:rsidRPr="008E781C" w:rsidRDefault="000307F8" w:rsidP="003E00B8">
      <w:pPr>
        <w:pStyle w:val="ListParagraph"/>
        <w:numPr>
          <w:ilvl w:val="0"/>
          <w:numId w:val="24"/>
        </w:numPr>
        <w:ind w:left="364"/>
        <w:rPr>
          <w:bCs/>
          <w:color w:val="000000" w:themeColor="text1"/>
          <w:szCs w:val="22"/>
        </w:rPr>
      </w:pPr>
      <w:r w:rsidRPr="008E781C">
        <w:rPr>
          <w:bCs/>
          <w:color w:val="000000" w:themeColor="text1"/>
          <w:szCs w:val="22"/>
        </w:rPr>
        <w:t>i</w:t>
      </w:r>
      <w:r w:rsidR="006E791D" w:rsidRPr="008E781C">
        <w:rPr>
          <w:bCs/>
          <w:color w:val="000000" w:themeColor="text1"/>
          <w:szCs w:val="22"/>
        </w:rPr>
        <w:t xml:space="preserve">f the person is above 14 years </w:t>
      </w:r>
      <w:r w:rsidR="00593496" w:rsidRPr="008E781C">
        <w:rPr>
          <w:bCs/>
          <w:color w:val="000000" w:themeColor="text1"/>
          <w:szCs w:val="22"/>
        </w:rPr>
        <w:t xml:space="preserve">of age </w:t>
      </w:r>
      <w:r w:rsidR="00E769B7" w:rsidRPr="008E781C">
        <w:rPr>
          <w:bCs/>
          <w:color w:val="000000" w:themeColor="text1"/>
          <w:szCs w:val="22"/>
        </w:rPr>
        <w:t>and able to give testimony</w:t>
      </w:r>
      <w:r w:rsidR="006E791D" w:rsidRPr="008E781C">
        <w:rPr>
          <w:bCs/>
          <w:color w:val="000000" w:themeColor="text1"/>
          <w:szCs w:val="22"/>
        </w:rPr>
        <w:t xml:space="preserve">, </w:t>
      </w:r>
      <w:r w:rsidR="00AD14E2" w:rsidRPr="008E781C">
        <w:rPr>
          <w:bCs/>
          <w:color w:val="000000" w:themeColor="text1"/>
          <w:szCs w:val="22"/>
        </w:rPr>
        <w:t xml:space="preserve">the applicant needs to make an </w:t>
      </w:r>
      <w:r w:rsidR="00AD14E2" w:rsidRPr="008E781C">
        <w:rPr>
          <w:b/>
          <w:bCs/>
          <w:color w:val="000000" w:themeColor="text1"/>
          <w:szCs w:val="22"/>
        </w:rPr>
        <w:t>oath of allegiance</w:t>
      </w:r>
      <w:r w:rsidR="006E791D" w:rsidRPr="008E781C">
        <w:rPr>
          <w:bCs/>
          <w:color w:val="000000" w:themeColor="text1"/>
          <w:szCs w:val="22"/>
        </w:rPr>
        <w:t xml:space="preserve"> </w:t>
      </w:r>
      <w:r w:rsidR="00AD14E2" w:rsidRPr="008E781C">
        <w:rPr>
          <w:bCs/>
          <w:color w:val="000000" w:themeColor="text1"/>
          <w:szCs w:val="22"/>
        </w:rPr>
        <w:t>(</w:t>
      </w:r>
      <w:r w:rsidR="00E769B7" w:rsidRPr="008E781C">
        <w:rPr>
          <w:bCs/>
          <w:color w:val="000000" w:themeColor="text1"/>
          <w:szCs w:val="22"/>
        </w:rPr>
        <w:t>to swear or promise</w:t>
      </w:r>
      <w:r w:rsidR="00E769B7" w:rsidRPr="008E781C">
        <w:rPr>
          <w:b/>
          <w:bCs/>
          <w:color w:val="000000" w:themeColor="text1"/>
          <w:szCs w:val="22"/>
        </w:rPr>
        <w:t xml:space="preserve"> fidelity to the King and obedience to the Constitution and laws</w:t>
      </w:r>
      <w:r w:rsidR="00AD14E2" w:rsidRPr="008E781C">
        <w:rPr>
          <w:bCs/>
          <w:color w:val="000000" w:themeColor="text1"/>
          <w:szCs w:val="22"/>
        </w:rPr>
        <w:t>)</w:t>
      </w:r>
      <w:r w:rsidRPr="008E781C">
        <w:rPr>
          <w:bCs/>
          <w:color w:val="000000" w:themeColor="text1"/>
          <w:szCs w:val="22"/>
        </w:rPr>
        <w:t>;</w:t>
      </w:r>
      <w:r w:rsidR="00E769B7" w:rsidRPr="008E781C">
        <w:rPr>
          <w:bCs/>
          <w:color w:val="000000" w:themeColor="text1"/>
          <w:szCs w:val="22"/>
        </w:rPr>
        <w:t xml:space="preserve"> </w:t>
      </w:r>
    </w:p>
    <w:p w14:paraId="40504945" w14:textId="5C85872B" w:rsidR="00E769B7" w:rsidRPr="008E781C" w:rsidRDefault="00E769B7" w:rsidP="003E00B8">
      <w:pPr>
        <w:pStyle w:val="ListParagraph"/>
        <w:numPr>
          <w:ilvl w:val="0"/>
          <w:numId w:val="24"/>
        </w:numPr>
        <w:ind w:left="364"/>
        <w:rPr>
          <w:bCs/>
          <w:color w:val="000000" w:themeColor="text1"/>
          <w:szCs w:val="22"/>
        </w:rPr>
      </w:pPr>
      <w:r w:rsidRPr="008E781C">
        <w:rPr>
          <w:bCs/>
          <w:color w:val="000000" w:themeColor="text1"/>
          <w:szCs w:val="22"/>
        </w:rPr>
        <w:t xml:space="preserve">declare that </w:t>
      </w:r>
      <w:r w:rsidR="00AD14E2" w:rsidRPr="008E781C">
        <w:rPr>
          <w:bCs/>
          <w:color w:val="000000" w:themeColor="text1"/>
          <w:szCs w:val="22"/>
        </w:rPr>
        <w:t xml:space="preserve">they </w:t>
      </w:r>
      <w:r w:rsidR="00AD14E2" w:rsidRPr="008E781C">
        <w:rPr>
          <w:b/>
          <w:bCs/>
          <w:color w:val="000000" w:themeColor="text1"/>
          <w:szCs w:val="22"/>
        </w:rPr>
        <w:t>renounce</w:t>
      </w:r>
      <w:r w:rsidRPr="008E781C">
        <w:rPr>
          <w:b/>
          <w:bCs/>
          <w:color w:val="000000" w:themeColor="text1"/>
          <w:szCs w:val="22"/>
        </w:rPr>
        <w:t xml:space="preserve"> to </w:t>
      </w:r>
      <w:r w:rsidR="00AD14E2" w:rsidRPr="008E781C">
        <w:rPr>
          <w:b/>
          <w:bCs/>
          <w:color w:val="000000" w:themeColor="text1"/>
          <w:szCs w:val="22"/>
        </w:rPr>
        <w:t>their</w:t>
      </w:r>
      <w:r w:rsidRPr="008E781C">
        <w:rPr>
          <w:b/>
          <w:bCs/>
          <w:color w:val="000000" w:themeColor="text1"/>
          <w:szCs w:val="22"/>
        </w:rPr>
        <w:t xml:space="preserve"> previous citizenship</w:t>
      </w:r>
      <w:r w:rsidRPr="008E781C">
        <w:rPr>
          <w:bCs/>
          <w:color w:val="000000" w:themeColor="text1"/>
          <w:szCs w:val="22"/>
        </w:rPr>
        <w:t>, except</w:t>
      </w:r>
      <w:r w:rsidR="00AD14E2" w:rsidRPr="008E781C">
        <w:rPr>
          <w:bCs/>
          <w:color w:val="000000" w:themeColor="text1"/>
          <w:szCs w:val="22"/>
        </w:rPr>
        <w:t xml:space="preserve"> for</w:t>
      </w:r>
      <w:r w:rsidRPr="008E781C">
        <w:rPr>
          <w:bCs/>
          <w:color w:val="000000" w:themeColor="text1"/>
          <w:szCs w:val="22"/>
        </w:rPr>
        <w:t xml:space="preserve"> the persons coming from </w:t>
      </w:r>
      <w:r w:rsidR="00AD14E2" w:rsidRPr="008E781C">
        <w:rPr>
          <w:bCs/>
          <w:color w:val="000000" w:themeColor="text1"/>
          <w:szCs w:val="22"/>
        </w:rPr>
        <w:t>Ibero-American countries, Andorra, the Philippines, Equatorial Guinea, Portugal or who are Sephardi Jews</w:t>
      </w:r>
      <w:r w:rsidR="000307F8" w:rsidRPr="008E781C">
        <w:rPr>
          <w:bCs/>
          <w:color w:val="000000" w:themeColor="text1"/>
          <w:szCs w:val="22"/>
        </w:rPr>
        <w:t>;</w:t>
      </w:r>
    </w:p>
    <w:p w14:paraId="166756FB" w14:textId="7158835F" w:rsidR="00E769B7" w:rsidRPr="008E781C" w:rsidRDefault="00AD14E2" w:rsidP="003E00B8">
      <w:pPr>
        <w:pStyle w:val="ListParagraph"/>
        <w:numPr>
          <w:ilvl w:val="0"/>
          <w:numId w:val="24"/>
        </w:numPr>
        <w:ind w:left="364"/>
        <w:rPr>
          <w:bCs/>
          <w:color w:val="000000" w:themeColor="text1"/>
          <w:szCs w:val="22"/>
        </w:rPr>
      </w:pPr>
      <w:r w:rsidRPr="008E781C">
        <w:rPr>
          <w:bCs/>
          <w:color w:val="000000" w:themeColor="text1"/>
          <w:szCs w:val="22"/>
        </w:rPr>
        <w:t xml:space="preserve">register </w:t>
      </w:r>
      <w:r w:rsidR="00593496" w:rsidRPr="008E781C">
        <w:rPr>
          <w:bCs/>
          <w:color w:val="000000" w:themeColor="text1"/>
          <w:szCs w:val="22"/>
        </w:rPr>
        <w:t>their</w:t>
      </w:r>
      <w:r w:rsidRPr="008E781C">
        <w:rPr>
          <w:bCs/>
          <w:color w:val="000000" w:themeColor="text1"/>
          <w:szCs w:val="22"/>
        </w:rPr>
        <w:t xml:space="preserve"> Spanish nationality </w:t>
      </w:r>
      <w:r w:rsidR="00E769B7" w:rsidRPr="008E781C">
        <w:rPr>
          <w:bCs/>
          <w:color w:val="000000" w:themeColor="text1"/>
          <w:szCs w:val="22"/>
        </w:rPr>
        <w:t>in the Civil Register.</w:t>
      </w:r>
    </w:p>
    <w:p w14:paraId="5150473B" w14:textId="77777777" w:rsidR="004D0FAF" w:rsidRPr="008E781C" w:rsidRDefault="004D0FAF" w:rsidP="004D0FAF">
      <w:pPr>
        <w:pStyle w:val="ListParagraph"/>
        <w:ind w:left="2214"/>
        <w:rPr>
          <w:bCs/>
          <w:color w:val="000000" w:themeColor="text1"/>
          <w:szCs w:val="22"/>
        </w:rPr>
      </w:pPr>
    </w:p>
    <w:p w14:paraId="3C248DED" w14:textId="3BCA63D3" w:rsidR="00542BCE" w:rsidRPr="008E781C" w:rsidRDefault="00DF6F85" w:rsidP="00542BCE">
      <w:pPr>
        <w:pStyle w:val="MBT"/>
        <w:rPr>
          <w:color w:val="000000" w:themeColor="text1"/>
          <w:lang w:val="en-GB"/>
        </w:rPr>
      </w:pPr>
      <w:r w:rsidRPr="008E781C">
        <w:rPr>
          <w:color w:val="000000" w:themeColor="text1"/>
          <w:lang w:val="en-GB"/>
        </w:rPr>
        <w:t xml:space="preserve">There are no specific statistics on the number of foreign investors who obtained Spanish </w:t>
      </w:r>
      <w:r w:rsidR="003F4746" w:rsidRPr="008E781C">
        <w:rPr>
          <w:color w:val="000000" w:themeColor="text1"/>
          <w:lang w:val="en-GB"/>
        </w:rPr>
        <w:t>citizenship</w:t>
      </w:r>
      <w:r w:rsidRPr="008E781C">
        <w:rPr>
          <w:color w:val="000000" w:themeColor="text1"/>
          <w:lang w:val="en-GB"/>
        </w:rPr>
        <w:t xml:space="preserve"> by residence or by naturalisation card. </w:t>
      </w:r>
      <w:r w:rsidR="004E1800" w:rsidRPr="008E781C">
        <w:rPr>
          <w:color w:val="000000" w:themeColor="text1"/>
          <w:lang w:val="en-GB"/>
        </w:rPr>
        <w:t xml:space="preserve">Such statistics are not disaggregated and, thus, do not indicate the specific profile of the person who obtained </w:t>
      </w:r>
      <w:r w:rsidR="00593496" w:rsidRPr="008E781C">
        <w:rPr>
          <w:color w:val="000000" w:themeColor="text1"/>
          <w:lang w:val="en-GB"/>
        </w:rPr>
        <w:t>citizenship</w:t>
      </w:r>
      <w:r w:rsidR="004E1800" w:rsidRPr="008E781C">
        <w:rPr>
          <w:color w:val="000000" w:themeColor="text1"/>
          <w:lang w:val="en-GB"/>
        </w:rPr>
        <w:t xml:space="preserve">. Statistics are only available in absolute numbers for third-country nationals who obtained Spanish </w:t>
      </w:r>
      <w:r w:rsidR="00593496" w:rsidRPr="008E781C">
        <w:rPr>
          <w:color w:val="000000" w:themeColor="text1"/>
          <w:lang w:val="en-GB"/>
        </w:rPr>
        <w:t xml:space="preserve">citizenship </w:t>
      </w:r>
      <w:r w:rsidR="004E1800" w:rsidRPr="008E781C">
        <w:rPr>
          <w:color w:val="000000" w:themeColor="text1"/>
          <w:lang w:val="en-GB"/>
        </w:rPr>
        <w:t>by residence or by naturalisation card.</w:t>
      </w:r>
      <w:r w:rsidR="004E1800" w:rsidRPr="008E781C">
        <w:rPr>
          <w:rStyle w:val="FootnoteReference"/>
          <w:color w:val="000000" w:themeColor="text1"/>
          <w:lang w:val="en-GB"/>
        </w:rPr>
        <w:footnoteReference w:id="292"/>
      </w:r>
    </w:p>
    <w:p w14:paraId="6B2ED5A4" w14:textId="717797E9" w:rsidR="008D706B" w:rsidRPr="008E781C" w:rsidRDefault="008D706B" w:rsidP="003B3938">
      <w:pPr>
        <w:pStyle w:val="MBT"/>
        <w:rPr>
          <w:color w:val="FF0000"/>
          <w:lang w:val="en-GB"/>
        </w:rPr>
      </w:pPr>
    </w:p>
    <w:p w14:paraId="349E7CAA" w14:textId="28E8DB56" w:rsidR="00B311A7" w:rsidRPr="008E781C" w:rsidRDefault="00B311A7" w:rsidP="002000B4">
      <w:pPr>
        <w:pStyle w:val="MH1nonumb"/>
        <w:numPr>
          <w:ilvl w:val="0"/>
          <w:numId w:val="10"/>
        </w:numPr>
        <w:ind w:left="426" w:hanging="284"/>
      </w:pPr>
      <w:bookmarkStart w:id="36" w:name="_Toc520923936"/>
      <w:bookmarkStart w:id="37" w:name="_Toc496025541"/>
      <w:r w:rsidRPr="008E781C">
        <w:lastRenderedPageBreak/>
        <w:t xml:space="preserve">ECONOMIC AND FINANCIAL EFFICIENCY </w:t>
      </w:r>
      <w:r w:rsidR="00B65D4C" w:rsidRPr="008E781C">
        <w:t>OF</w:t>
      </w:r>
      <w:r w:rsidRPr="008E781C">
        <w:t xml:space="preserve"> RESIDENCE PERMITS FOR FOREIGN INVESTORS</w:t>
      </w:r>
      <w:bookmarkEnd w:id="36"/>
      <w:r w:rsidRPr="008E781C">
        <w:t xml:space="preserve"> </w:t>
      </w:r>
      <w:bookmarkStart w:id="38" w:name="_Hlk493698159"/>
      <w:r w:rsidRPr="008E781C">
        <w:t xml:space="preserve"> </w:t>
      </w:r>
      <w:bookmarkEnd w:id="37"/>
      <w:bookmarkEnd w:id="38"/>
    </w:p>
    <w:p w14:paraId="75836BF0" w14:textId="4599F389" w:rsidR="00332A37" w:rsidRPr="008E781C" w:rsidRDefault="00332A37" w:rsidP="007574AD">
      <w:pPr>
        <w:pStyle w:val="MBT"/>
        <w:rPr>
          <w:lang w:val="en-GB"/>
        </w:rPr>
      </w:pPr>
      <w:bookmarkStart w:id="39" w:name="_Hlk495949511"/>
      <w:r w:rsidRPr="008E781C">
        <w:rPr>
          <w:lang w:val="en-GB"/>
        </w:rPr>
        <w:t xml:space="preserve">Law 14/2013 </w:t>
      </w:r>
      <w:r w:rsidR="007574AD" w:rsidRPr="008E781C">
        <w:rPr>
          <w:lang w:val="en-GB"/>
        </w:rPr>
        <w:t>requires the Ministry of Employment and Social Security, on request of the Ministries of Foreign Affairs, Interior Affairs and Economy</w:t>
      </w:r>
      <w:r w:rsidRPr="008E781C">
        <w:rPr>
          <w:lang w:val="en-GB"/>
        </w:rPr>
        <w:t xml:space="preserve"> to prepare a</w:t>
      </w:r>
      <w:r w:rsidR="00F667A7" w:rsidRPr="008E781C">
        <w:rPr>
          <w:lang w:val="en-GB"/>
        </w:rPr>
        <w:t xml:space="preserve">n </w:t>
      </w:r>
      <w:r w:rsidR="00F667A7" w:rsidRPr="008E781C">
        <w:rPr>
          <w:b/>
          <w:lang w:val="en-GB"/>
        </w:rPr>
        <w:t>annual</w:t>
      </w:r>
      <w:r w:rsidRPr="008E781C">
        <w:rPr>
          <w:b/>
          <w:lang w:val="en-GB"/>
        </w:rPr>
        <w:t xml:space="preserve"> report on the </w:t>
      </w:r>
      <w:r w:rsidR="00A31FC2" w:rsidRPr="008E781C">
        <w:rPr>
          <w:b/>
          <w:lang w:val="en-GB"/>
        </w:rPr>
        <w:t>implementat</w:t>
      </w:r>
      <w:r w:rsidRPr="008E781C">
        <w:rPr>
          <w:b/>
          <w:lang w:val="en-GB"/>
        </w:rPr>
        <w:t>ion</w:t>
      </w:r>
      <w:r w:rsidRPr="008E781C">
        <w:rPr>
          <w:lang w:val="en-GB"/>
        </w:rPr>
        <w:t xml:space="preserve"> of the </w:t>
      </w:r>
      <w:r w:rsidR="004E1800" w:rsidRPr="008E781C">
        <w:rPr>
          <w:lang w:val="en-GB"/>
        </w:rPr>
        <w:t>permits granted to the groups of individuals covered by</w:t>
      </w:r>
      <w:r w:rsidRPr="008E781C">
        <w:rPr>
          <w:lang w:val="en-GB"/>
        </w:rPr>
        <w:t xml:space="preserve"> Article 61 of Law 14/2013 (investors, entrepreneurs, highly qualified professionals, research</w:t>
      </w:r>
      <w:r w:rsidR="0052715A" w:rsidRPr="008E781C">
        <w:rPr>
          <w:lang w:val="en-GB"/>
        </w:rPr>
        <w:t>ers</w:t>
      </w:r>
      <w:r w:rsidRPr="008E781C">
        <w:rPr>
          <w:lang w:val="en-GB"/>
        </w:rPr>
        <w:t xml:space="preserve"> and </w:t>
      </w:r>
      <w:r w:rsidR="0052715A" w:rsidRPr="008E781C">
        <w:rPr>
          <w:lang w:val="en-GB"/>
        </w:rPr>
        <w:t>intra-corporate transferees</w:t>
      </w:r>
      <w:r w:rsidRPr="008E781C">
        <w:rPr>
          <w:lang w:val="en-GB"/>
        </w:rPr>
        <w:t>)</w:t>
      </w:r>
      <w:r w:rsidR="000307F8" w:rsidRPr="008E781C">
        <w:rPr>
          <w:lang w:val="en-GB"/>
        </w:rPr>
        <w:t xml:space="preserve"> </w:t>
      </w:r>
      <w:r w:rsidR="0052715A" w:rsidRPr="008E781C">
        <w:rPr>
          <w:lang w:val="en-GB"/>
        </w:rPr>
        <w:t>(‘</w:t>
      </w:r>
      <w:r w:rsidR="0052715A" w:rsidRPr="008E781C">
        <w:rPr>
          <w:b/>
          <w:lang w:val="en-GB"/>
        </w:rPr>
        <w:t>international mobility permits</w:t>
      </w:r>
      <w:r w:rsidR="0052715A" w:rsidRPr="008E781C">
        <w:rPr>
          <w:lang w:val="en-GB"/>
        </w:rPr>
        <w:t>’)</w:t>
      </w:r>
      <w:r w:rsidRPr="008E781C">
        <w:rPr>
          <w:lang w:val="en-GB"/>
        </w:rPr>
        <w:t>.</w:t>
      </w:r>
      <w:r w:rsidR="00AF04C0" w:rsidRPr="008E781C">
        <w:rPr>
          <w:rStyle w:val="FootnoteReference"/>
          <w:lang w:val="en-GB"/>
        </w:rPr>
        <w:footnoteReference w:id="293"/>
      </w:r>
      <w:r w:rsidRPr="008E781C">
        <w:rPr>
          <w:lang w:val="en-GB"/>
        </w:rPr>
        <w:t xml:space="preserve"> The report must be </w:t>
      </w:r>
      <w:r w:rsidR="007574AD" w:rsidRPr="008E781C">
        <w:rPr>
          <w:lang w:val="en-GB"/>
        </w:rPr>
        <w:t xml:space="preserve">submitted to the Council of Ministers. To date, </w:t>
      </w:r>
      <w:r w:rsidRPr="008E781C">
        <w:rPr>
          <w:lang w:val="en-GB"/>
        </w:rPr>
        <w:t xml:space="preserve">only </w:t>
      </w:r>
      <w:r w:rsidR="00F667A7" w:rsidRPr="008E781C">
        <w:rPr>
          <w:lang w:val="en-GB"/>
        </w:rPr>
        <w:t>the first of such reports (</w:t>
      </w:r>
      <w:r w:rsidR="007574AD" w:rsidRPr="008E781C">
        <w:rPr>
          <w:lang w:val="en-GB"/>
        </w:rPr>
        <w:t>the 2015 Report</w:t>
      </w:r>
      <w:r w:rsidR="00F667A7" w:rsidRPr="008E781C">
        <w:rPr>
          <w:lang w:val="en-GB"/>
        </w:rPr>
        <w:t>) is</w:t>
      </w:r>
      <w:r w:rsidRPr="008E781C">
        <w:rPr>
          <w:lang w:val="en-GB"/>
        </w:rPr>
        <w:t xml:space="preserve"> </w:t>
      </w:r>
      <w:r w:rsidR="00F667A7" w:rsidRPr="008E781C">
        <w:rPr>
          <w:lang w:val="en-GB"/>
        </w:rPr>
        <w:t>publicly</w:t>
      </w:r>
      <w:r w:rsidRPr="008E781C">
        <w:rPr>
          <w:lang w:val="en-GB"/>
        </w:rPr>
        <w:t xml:space="preserve"> available</w:t>
      </w:r>
      <w:r w:rsidR="007574AD" w:rsidRPr="008E781C">
        <w:rPr>
          <w:lang w:val="en-GB"/>
        </w:rPr>
        <w:t>.</w:t>
      </w:r>
      <w:r w:rsidRPr="008E781C">
        <w:rPr>
          <w:rStyle w:val="FootnoteReference"/>
          <w:lang w:val="en-GB"/>
        </w:rPr>
        <w:footnoteReference w:id="294"/>
      </w:r>
    </w:p>
    <w:p w14:paraId="250C2879" w14:textId="1E4A1BFE" w:rsidR="00332A37" w:rsidRPr="008E781C" w:rsidRDefault="00332A37" w:rsidP="00332A37">
      <w:pPr>
        <w:pStyle w:val="MMultilevel"/>
        <w:numPr>
          <w:ilvl w:val="0"/>
          <w:numId w:val="0"/>
        </w:numPr>
        <w:rPr>
          <w:color w:val="000000" w:themeColor="text1"/>
          <w:lang w:val="en-GB"/>
        </w:rPr>
      </w:pPr>
    </w:p>
    <w:p w14:paraId="68846EB0" w14:textId="164C86EC" w:rsidR="009067EC" w:rsidRPr="008E781C" w:rsidRDefault="00332A37" w:rsidP="00332A37">
      <w:pPr>
        <w:pStyle w:val="MMultilevel"/>
        <w:numPr>
          <w:ilvl w:val="0"/>
          <w:numId w:val="0"/>
        </w:numPr>
        <w:rPr>
          <w:color w:val="000000" w:themeColor="text1"/>
          <w:lang w:val="en-GB"/>
        </w:rPr>
      </w:pPr>
      <w:r w:rsidRPr="008E781C">
        <w:rPr>
          <w:color w:val="000000" w:themeColor="text1"/>
          <w:lang w:val="en-GB"/>
        </w:rPr>
        <w:t xml:space="preserve">According to </w:t>
      </w:r>
      <w:r w:rsidR="00F667A7" w:rsidRPr="008E781C">
        <w:rPr>
          <w:color w:val="000000" w:themeColor="text1"/>
          <w:lang w:val="en-GB"/>
        </w:rPr>
        <w:t>the 2015 Report</w:t>
      </w:r>
      <w:r w:rsidRPr="008E781C">
        <w:rPr>
          <w:color w:val="000000" w:themeColor="text1"/>
          <w:lang w:val="en-GB"/>
        </w:rPr>
        <w:t xml:space="preserve">, the introduction of </w:t>
      </w:r>
      <w:r w:rsidR="0052715A" w:rsidRPr="008E781C">
        <w:rPr>
          <w:color w:val="000000" w:themeColor="text1"/>
          <w:lang w:val="en-GB"/>
        </w:rPr>
        <w:t>international mobility</w:t>
      </w:r>
      <w:r w:rsidRPr="008E781C">
        <w:rPr>
          <w:color w:val="000000" w:themeColor="text1"/>
          <w:lang w:val="en-GB"/>
        </w:rPr>
        <w:t xml:space="preserve"> </w:t>
      </w:r>
      <w:r w:rsidR="0052715A" w:rsidRPr="008E781C">
        <w:rPr>
          <w:color w:val="000000" w:themeColor="text1"/>
          <w:lang w:val="en-GB"/>
        </w:rPr>
        <w:t xml:space="preserve">permits </w:t>
      </w:r>
      <w:r w:rsidRPr="008E781C">
        <w:rPr>
          <w:color w:val="000000" w:themeColor="text1"/>
          <w:lang w:val="en-GB"/>
        </w:rPr>
        <w:t xml:space="preserve">has </w:t>
      </w:r>
      <w:r w:rsidR="007574AD" w:rsidRPr="008E781C">
        <w:rPr>
          <w:color w:val="000000" w:themeColor="text1"/>
          <w:lang w:val="en-GB"/>
        </w:rPr>
        <w:t xml:space="preserve">supported </w:t>
      </w:r>
      <w:r w:rsidRPr="008E781C">
        <w:rPr>
          <w:color w:val="000000" w:themeColor="text1"/>
          <w:lang w:val="en-GB"/>
        </w:rPr>
        <w:t xml:space="preserve">the establishment of a </w:t>
      </w:r>
      <w:r w:rsidRPr="008E781C">
        <w:rPr>
          <w:b/>
          <w:color w:val="000000" w:themeColor="text1"/>
          <w:lang w:val="en-GB"/>
        </w:rPr>
        <w:t>favourable framework for the internationalisation of the Spanish market</w:t>
      </w:r>
      <w:r w:rsidRPr="008E781C">
        <w:rPr>
          <w:color w:val="000000" w:themeColor="text1"/>
          <w:lang w:val="en-GB"/>
        </w:rPr>
        <w:t xml:space="preserve"> since it attracts </w:t>
      </w:r>
      <w:r w:rsidR="009067EC" w:rsidRPr="008E781C">
        <w:rPr>
          <w:color w:val="000000" w:themeColor="text1"/>
          <w:lang w:val="en-GB"/>
        </w:rPr>
        <w:t xml:space="preserve">investment and talent and is </w:t>
      </w:r>
      <w:r w:rsidR="009067EC" w:rsidRPr="008E781C">
        <w:rPr>
          <w:b/>
          <w:color w:val="000000" w:themeColor="text1"/>
          <w:lang w:val="en-GB"/>
        </w:rPr>
        <w:t>boosting opportunities in the negotiation of international</w:t>
      </w:r>
      <w:r w:rsidR="00F667A7" w:rsidRPr="008E781C">
        <w:rPr>
          <w:b/>
          <w:color w:val="000000" w:themeColor="text1"/>
          <w:lang w:val="en-GB"/>
        </w:rPr>
        <w:t xml:space="preserve"> economic</w:t>
      </w:r>
      <w:r w:rsidR="009067EC" w:rsidRPr="008E781C">
        <w:rPr>
          <w:b/>
          <w:color w:val="000000" w:themeColor="text1"/>
          <w:lang w:val="en-GB"/>
        </w:rPr>
        <w:t xml:space="preserve"> agreements</w:t>
      </w:r>
      <w:r w:rsidR="009067EC" w:rsidRPr="008E781C">
        <w:rPr>
          <w:color w:val="000000" w:themeColor="text1"/>
          <w:lang w:val="en-GB"/>
        </w:rPr>
        <w:t xml:space="preserve">. Regarding the investors’ </w:t>
      </w:r>
      <w:r w:rsidR="0052715A" w:rsidRPr="008E781C">
        <w:rPr>
          <w:color w:val="000000" w:themeColor="text1"/>
          <w:lang w:val="en-GB"/>
        </w:rPr>
        <w:t xml:space="preserve">permits, </w:t>
      </w:r>
      <w:r w:rsidR="009067EC" w:rsidRPr="008E781C">
        <w:rPr>
          <w:color w:val="000000" w:themeColor="text1"/>
          <w:lang w:val="en-GB"/>
        </w:rPr>
        <w:t xml:space="preserve">specifically, </w:t>
      </w:r>
      <w:r w:rsidR="0052715A" w:rsidRPr="008E781C">
        <w:rPr>
          <w:color w:val="000000" w:themeColor="text1"/>
          <w:lang w:val="en-GB"/>
        </w:rPr>
        <w:t xml:space="preserve">the Report declares that </w:t>
      </w:r>
      <w:r w:rsidR="009067EC" w:rsidRPr="008E781C">
        <w:rPr>
          <w:color w:val="000000" w:themeColor="text1"/>
          <w:lang w:val="en-GB"/>
        </w:rPr>
        <w:t>Spain is now open to investment and has removed important obstacles</w:t>
      </w:r>
      <w:r w:rsidR="00E96B12" w:rsidRPr="008E781C">
        <w:rPr>
          <w:color w:val="000000" w:themeColor="text1"/>
          <w:lang w:val="en-GB"/>
        </w:rPr>
        <w:t xml:space="preserve"> to immigration</w:t>
      </w:r>
      <w:r w:rsidR="009067EC" w:rsidRPr="008E781C">
        <w:rPr>
          <w:color w:val="000000" w:themeColor="text1"/>
          <w:lang w:val="en-GB"/>
        </w:rPr>
        <w:t>.</w:t>
      </w:r>
      <w:r w:rsidR="00814F66" w:rsidRPr="008E781C">
        <w:rPr>
          <w:color w:val="000000" w:themeColor="text1"/>
          <w:lang w:val="en-GB"/>
        </w:rPr>
        <w:t xml:space="preserve"> </w:t>
      </w:r>
      <w:r w:rsidR="009067EC" w:rsidRPr="008E781C">
        <w:rPr>
          <w:color w:val="000000" w:themeColor="text1"/>
          <w:lang w:val="en-GB"/>
        </w:rPr>
        <w:t xml:space="preserve">The </w:t>
      </w:r>
      <w:r w:rsidR="00F667A7" w:rsidRPr="008E781C">
        <w:rPr>
          <w:color w:val="000000" w:themeColor="text1"/>
          <w:lang w:val="en-GB"/>
        </w:rPr>
        <w:t xml:space="preserve">2015 Report also states that the </w:t>
      </w:r>
      <w:r w:rsidR="007574AD" w:rsidRPr="008E781C">
        <w:rPr>
          <w:color w:val="000000" w:themeColor="text1"/>
          <w:lang w:val="en-GB"/>
        </w:rPr>
        <w:t xml:space="preserve">Spain’s </w:t>
      </w:r>
      <w:r w:rsidR="009067EC" w:rsidRPr="008E781C">
        <w:rPr>
          <w:color w:val="000000" w:themeColor="text1"/>
          <w:lang w:val="en-GB"/>
        </w:rPr>
        <w:t xml:space="preserve">Secretary for Trade </w:t>
      </w:r>
      <w:r w:rsidR="00F667A7" w:rsidRPr="008E781C">
        <w:rPr>
          <w:color w:val="000000" w:themeColor="text1"/>
          <w:lang w:val="en-GB"/>
        </w:rPr>
        <w:t xml:space="preserve">considered </w:t>
      </w:r>
      <w:r w:rsidR="009067EC" w:rsidRPr="008E781C">
        <w:rPr>
          <w:color w:val="000000" w:themeColor="text1"/>
          <w:lang w:val="en-GB"/>
        </w:rPr>
        <w:t xml:space="preserve">that in the next </w:t>
      </w:r>
      <w:r w:rsidR="007574AD" w:rsidRPr="008E781C">
        <w:rPr>
          <w:color w:val="000000" w:themeColor="text1"/>
          <w:lang w:val="en-GB"/>
        </w:rPr>
        <w:t xml:space="preserve">five </w:t>
      </w:r>
      <w:r w:rsidR="009067EC" w:rsidRPr="008E781C">
        <w:rPr>
          <w:color w:val="000000" w:themeColor="text1"/>
          <w:lang w:val="en-GB"/>
        </w:rPr>
        <w:t xml:space="preserve">years – since 2015 – the investment generated by </w:t>
      </w:r>
      <w:r w:rsidR="0052715A" w:rsidRPr="008E781C">
        <w:rPr>
          <w:color w:val="000000" w:themeColor="text1"/>
          <w:lang w:val="en-GB"/>
        </w:rPr>
        <w:t>international mobility</w:t>
      </w:r>
      <w:r w:rsidR="009067EC" w:rsidRPr="008E781C">
        <w:rPr>
          <w:color w:val="000000" w:themeColor="text1"/>
          <w:lang w:val="en-GB"/>
        </w:rPr>
        <w:t xml:space="preserve"> </w:t>
      </w:r>
      <w:r w:rsidR="00B421E9" w:rsidRPr="008E781C">
        <w:rPr>
          <w:color w:val="000000" w:themeColor="text1"/>
          <w:lang w:val="en-GB"/>
        </w:rPr>
        <w:t xml:space="preserve">permits </w:t>
      </w:r>
      <w:r w:rsidR="00F667A7" w:rsidRPr="008E781C">
        <w:rPr>
          <w:color w:val="000000" w:themeColor="text1"/>
          <w:lang w:val="en-GB"/>
        </w:rPr>
        <w:t>would</w:t>
      </w:r>
      <w:r w:rsidR="009067EC" w:rsidRPr="008E781C">
        <w:rPr>
          <w:color w:val="000000" w:themeColor="text1"/>
          <w:lang w:val="en-GB"/>
        </w:rPr>
        <w:t xml:space="preserve"> reach </w:t>
      </w:r>
      <w:r w:rsidR="0094689A" w:rsidRPr="008E781C">
        <w:rPr>
          <w:color w:val="000000" w:themeColor="text1"/>
          <w:lang w:val="en-GB"/>
        </w:rPr>
        <w:t>EUR</w:t>
      </w:r>
      <w:r w:rsidR="00F667A7" w:rsidRPr="008E781C">
        <w:rPr>
          <w:color w:val="000000" w:themeColor="text1"/>
          <w:lang w:val="en-GB"/>
        </w:rPr>
        <w:t xml:space="preserve"> </w:t>
      </w:r>
      <w:r w:rsidR="009067EC" w:rsidRPr="008E781C">
        <w:rPr>
          <w:color w:val="000000" w:themeColor="text1"/>
          <w:lang w:val="en-GB"/>
        </w:rPr>
        <w:t xml:space="preserve">694 million and </w:t>
      </w:r>
      <w:r w:rsidR="007574AD" w:rsidRPr="008E781C">
        <w:rPr>
          <w:color w:val="000000" w:themeColor="text1"/>
          <w:lang w:val="en-GB"/>
        </w:rPr>
        <w:t>create</w:t>
      </w:r>
      <w:r w:rsidR="009067EC" w:rsidRPr="008E781C">
        <w:rPr>
          <w:color w:val="000000" w:themeColor="text1"/>
          <w:lang w:val="en-GB"/>
        </w:rPr>
        <w:t xml:space="preserve"> 12,685 </w:t>
      </w:r>
      <w:r w:rsidR="00424CCE" w:rsidRPr="008E781C">
        <w:rPr>
          <w:color w:val="000000" w:themeColor="text1"/>
          <w:lang w:val="en-GB"/>
        </w:rPr>
        <w:t>jobs</w:t>
      </w:r>
      <w:r w:rsidR="009067EC" w:rsidRPr="008E781C">
        <w:rPr>
          <w:color w:val="000000" w:themeColor="text1"/>
          <w:lang w:val="en-GB"/>
        </w:rPr>
        <w:t xml:space="preserve">. </w:t>
      </w:r>
      <w:r w:rsidR="00DE7A45" w:rsidRPr="008E781C">
        <w:rPr>
          <w:color w:val="000000" w:themeColor="text1"/>
          <w:lang w:val="en-GB"/>
        </w:rPr>
        <w:t xml:space="preserve">This </w:t>
      </w:r>
      <w:r w:rsidR="007574AD" w:rsidRPr="008E781C">
        <w:rPr>
          <w:color w:val="000000" w:themeColor="text1"/>
          <w:lang w:val="en-GB"/>
        </w:rPr>
        <w:t xml:space="preserve">positive </w:t>
      </w:r>
      <w:r w:rsidR="00DE7A45" w:rsidRPr="008E781C">
        <w:rPr>
          <w:color w:val="000000" w:themeColor="text1"/>
          <w:lang w:val="en-GB"/>
        </w:rPr>
        <w:t xml:space="preserve">impact of the regime established by Law 14/2013 is also commented </w:t>
      </w:r>
      <w:r w:rsidR="007574AD" w:rsidRPr="008E781C">
        <w:rPr>
          <w:color w:val="000000" w:themeColor="text1"/>
          <w:lang w:val="en-GB"/>
        </w:rPr>
        <w:t xml:space="preserve">on </w:t>
      </w:r>
      <w:r w:rsidR="00DE7A45" w:rsidRPr="008E781C">
        <w:rPr>
          <w:color w:val="000000" w:themeColor="text1"/>
          <w:lang w:val="en-GB"/>
        </w:rPr>
        <w:t xml:space="preserve">by the Government in </w:t>
      </w:r>
      <w:r w:rsidR="00975ED9" w:rsidRPr="008E781C">
        <w:rPr>
          <w:color w:val="000000" w:themeColor="text1"/>
          <w:lang w:val="en-GB"/>
        </w:rPr>
        <w:t xml:space="preserve">its </w:t>
      </w:r>
      <w:r w:rsidR="00DE7A45" w:rsidRPr="008E781C">
        <w:rPr>
          <w:color w:val="000000" w:themeColor="text1"/>
          <w:lang w:val="en-GB"/>
        </w:rPr>
        <w:t>mid</w:t>
      </w:r>
      <w:r w:rsidR="00ED4279" w:rsidRPr="008E781C">
        <w:rPr>
          <w:color w:val="000000" w:themeColor="text1"/>
          <w:lang w:val="en-GB"/>
        </w:rPr>
        <w:t>-</w:t>
      </w:r>
      <w:r w:rsidR="00DE7A45" w:rsidRPr="008E781C">
        <w:rPr>
          <w:color w:val="000000" w:themeColor="text1"/>
          <w:lang w:val="en-GB"/>
        </w:rPr>
        <w:t>term evaluation of the Strategic Plan for the Internationalisation of the Spanish Economy.</w:t>
      </w:r>
      <w:r w:rsidR="00DE7A45" w:rsidRPr="008E781C">
        <w:rPr>
          <w:rStyle w:val="FootnoteReference"/>
          <w:color w:val="000000" w:themeColor="text1"/>
          <w:lang w:val="en-GB"/>
        </w:rPr>
        <w:footnoteReference w:id="295"/>
      </w:r>
    </w:p>
    <w:p w14:paraId="5F8FF973" w14:textId="4313704B" w:rsidR="00814F66" w:rsidRPr="008E781C" w:rsidRDefault="00814F66" w:rsidP="00332A37">
      <w:pPr>
        <w:pStyle w:val="MMultilevel"/>
        <w:numPr>
          <w:ilvl w:val="0"/>
          <w:numId w:val="0"/>
        </w:numPr>
        <w:rPr>
          <w:color w:val="000000" w:themeColor="text1"/>
          <w:lang w:val="en-GB"/>
        </w:rPr>
      </w:pPr>
    </w:p>
    <w:p w14:paraId="5954849B" w14:textId="22DABF57" w:rsidR="00424CCE" w:rsidRPr="008E781C" w:rsidRDefault="007574AD" w:rsidP="00332A37">
      <w:pPr>
        <w:pStyle w:val="MMultilevel"/>
        <w:numPr>
          <w:ilvl w:val="0"/>
          <w:numId w:val="0"/>
        </w:numPr>
        <w:rPr>
          <w:color w:val="000000" w:themeColor="text1"/>
          <w:lang w:val="en-GB"/>
        </w:rPr>
      </w:pPr>
      <w:r w:rsidRPr="008E781C">
        <w:rPr>
          <w:color w:val="000000" w:themeColor="text1"/>
          <w:lang w:val="en-GB"/>
        </w:rPr>
        <w:t>Nevertheless</w:t>
      </w:r>
      <w:r w:rsidR="000930F3" w:rsidRPr="008E781C">
        <w:rPr>
          <w:color w:val="000000" w:themeColor="text1"/>
          <w:lang w:val="en-GB"/>
        </w:rPr>
        <w:t xml:space="preserve">, </w:t>
      </w:r>
      <w:r w:rsidR="00A31FC2" w:rsidRPr="008E781C">
        <w:rPr>
          <w:color w:val="000000" w:themeColor="text1"/>
          <w:lang w:val="en-GB"/>
        </w:rPr>
        <w:t xml:space="preserve">part of </w:t>
      </w:r>
      <w:r w:rsidR="000930F3" w:rsidRPr="008E781C">
        <w:rPr>
          <w:color w:val="000000" w:themeColor="text1"/>
          <w:lang w:val="en-GB"/>
        </w:rPr>
        <w:t xml:space="preserve">the </w:t>
      </w:r>
      <w:r w:rsidR="000930F3" w:rsidRPr="008E781C">
        <w:rPr>
          <w:b/>
          <w:color w:val="000000" w:themeColor="text1"/>
          <w:lang w:val="en-GB"/>
        </w:rPr>
        <w:t>academia</w:t>
      </w:r>
      <w:r w:rsidR="000930F3" w:rsidRPr="008E781C">
        <w:rPr>
          <w:color w:val="000000" w:themeColor="text1"/>
          <w:lang w:val="en-GB"/>
        </w:rPr>
        <w:t xml:space="preserve"> considers that the </w:t>
      </w:r>
      <w:r w:rsidR="00424CCE" w:rsidRPr="008E781C">
        <w:rPr>
          <w:color w:val="000000" w:themeColor="text1"/>
          <w:lang w:val="en-GB"/>
        </w:rPr>
        <w:t xml:space="preserve">Spanish investors’ residence </w:t>
      </w:r>
      <w:r w:rsidR="000930F3" w:rsidRPr="008E781C">
        <w:rPr>
          <w:color w:val="000000" w:themeColor="text1"/>
          <w:lang w:val="en-GB"/>
        </w:rPr>
        <w:t xml:space="preserve">scheme has not been successful, especially when </w:t>
      </w:r>
      <w:r w:rsidRPr="008E781C">
        <w:rPr>
          <w:color w:val="000000" w:themeColor="text1"/>
          <w:lang w:val="en-GB"/>
        </w:rPr>
        <w:t>compared with similar schemes such as that of</w:t>
      </w:r>
      <w:r w:rsidR="000930F3" w:rsidRPr="008E781C">
        <w:rPr>
          <w:color w:val="000000" w:themeColor="text1"/>
          <w:lang w:val="en-GB"/>
        </w:rPr>
        <w:t xml:space="preserve"> Portugal. </w:t>
      </w:r>
      <w:r w:rsidR="00ED4279" w:rsidRPr="008E781C">
        <w:rPr>
          <w:color w:val="000000" w:themeColor="text1"/>
          <w:lang w:val="en-GB"/>
        </w:rPr>
        <w:t>A study published in 2016</w:t>
      </w:r>
      <w:r w:rsidR="000930F3" w:rsidRPr="008E781C">
        <w:rPr>
          <w:rStyle w:val="FootnoteReference"/>
          <w:color w:val="000000" w:themeColor="text1"/>
          <w:lang w:val="en-GB"/>
        </w:rPr>
        <w:footnoteReference w:id="296"/>
      </w:r>
      <w:r w:rsidR="000930F3" w:rsidRPr="008E781C">
        <w:rPr>
          <w:color w:val="000000" w:themeColor="text1"/>
          <w:lang w:val="en-GB"/>
        </w:rPr>
        <w:t xml:space="preserve"> </w:t>
      </w:r>
      <w:r w:rsidR="00ED4279" w:rsidRPr="008E781C">
        <w:rPr>
          <w:color w:val="000000" w:themeColor="text1"/>
          <w:lang w:val="en-GB"/>
        </w:rPr>
        <w:t xml:space="preserve">reports </w:t>
      </w:r>
      <w:r w:rsidR="000930F3" w:rsidRPr="008E781C">
        <w:rPr>
          <w:color w:val="000000" w:themeColor="text1"/>
          <w:lang w:val="en-GB"/>
        </w:rPr>
        <w:t xml:space="preserve">that the </w:t>
      </w:r>
      <w:r w:rsidR="000930F3" w:rsidRPr="008E781C">
        <w:rPr>
          <w:b/>
          <w:color w:val="000000" w:themeColor="text1"/>
          <w:lang w:val="en-GB"/>
        </w:rPr>
        <w:t>number of</w:t>
      </w:r>
      <w:r w:rsidR="00424CCE" w:rsidRPr="008E781C">
        <w:rPr>
          <w:b/>
          <w:color w:val="000000" w:themeColor="text1"/>
          <w:lang w:val="en-GB"/>
        </w:rPr>
        <w:t xml:space="preserve"> foreign</w:t>
      </w:r>
      <w:r w:rsidR="000930F3" w:rsidRPr="008E781C">
        <w:rPr>
          <w:b/>
          <w:color w:val="000000" w:themeColor="text1"/>
          <w:lang w:val="en-GB"/>
        </w:rPr>
        <w:t xml:space="preserve"> investors</w:t>
      </w:r>
      <w:r w:rsidR="000930F3" w:rsidRPr="008E781C">
        <w:rPr>
          <w:color w:val="000000" w:themeColor="text1"/>
          <w:lang w:val="en-GB"/>
        </w:rPr>
        <w:t xml:space="preserve"> </w:t>
      </w:r>
      <w:r w:rsidR="00424CCE" w:rsidRPr="008E781C">
        <w:rPr>
          <w:color w:val="000000" w:themeColor="text1"/>
          <w:lang w:val="en-GB"/>
        </w:rPr>
        <w:t xml:space="preserve">granted a </w:t>
      </w:r>
      <w:r w:rsidR="00424CCE" w:rsidRPr="008E781C">
        <w:rPr>
          <w:b/>
          <w:color w:val="000000" w:themeColor="text1"/>
          <w:lang w:val="en-GB"/>
        </w:rPr>
        <w:t>permit</w:t>
      </w:r>
      <w:r w:rsidRPr="008E781C">
        <w:rPr>
          <w:color w:val="000000" w:themeColor="text1"/>
          <w:lang w:val="en-GB"/>
        </w:rPr>
        <w:t xml:space="preserve"> </w:t>
      </w:r>
      <w:r w:rsidR="000930F3" w:rsidRPr="008E781C">
        <w:rPr>
          <w:color w:val="000000" w:themeColor="text1"/>
          <w:lang w:val="en-GB"/>
        </w:rPr>
        <w:t xml:space="preserve">– 531 –, the </w:t>
      </w:r>
      <w:r w:rsidR="00A31FC2" w:rsidRPr="008E781C">
        <w:rPr>
          <w:b/>
          <w:color w:val="000000" w:themeColor="text1"/>
          <w:lang w:val="en-GB"/>
        </w:rPr>
        <w:t>amount</w:t>
      </w:r>
      <w:r w:rsidR="000930F3" w:rsidRPr="008E781C">
        <w:rPr>
          <w:b/>
          <w:color w:val="000000" w:themeColor="text1"/>
          <w:lang w:val="en-GB"/>
        </w:rPr>
        <w:t xml:space="preserve"> of investment</w:t>
      </w:r>
      <w:r w:rsidRPr="008E781C">
        <w:rPr>
          <w:color w:val="000000" w:themeColor="text1"/>
          <w:lang w:val="en-GB"/>
        </w:rPr>
        <w:t xml:space="preserve"> </w:t>
      </w:r>
      <w:r w:rsidR="000930F3" w:rsidRPr="008E781C">
        <w:rPr>
          <w:color w:val="000000" w:themeColor="text1"/>
          <w:lang w:val="en-GB"/>
        </w:rPr>
        <w:t xml:space="preserve">– </w:t>
      </w:r>
      <w:r w:rsidR="0094689A" w:rsidRPr="008E781C">
        <w:rPr>
          <w:color w:val="000000" w:themeColor="text1"/>
          <w:lang w:val="en-GB"/>
        </w:rPr>
        <w:t>EUR</w:t>
      </w:r>
      <w:r w:rsidR="00ED4279" w:rsidRPr="008E781C">
        <w:rPr>
          <w:color w:val="000000" w:themeColor="text1"/>
          <w:lang w:val="en-GB"/>
        </w:rPr>
        <w:t xml:space="preserve"> </w:t>
      </w:r>
      <w:r w:rsidR="000930F3" w:rsidRPr="008E781C">
        <w:rPr>
          <w:color w:val="000000" w:themeColor="text1"/>
          <w:lang w:val="en-GB"/>
        </w:rPr>
        <w:t xml:space="preserve">446.8 million –, and the </w:t>
      </w:r>
      <w:r w:rsidR="000930F3" w:rsidRPr="008E781C">
        <w:rPr>
          <w:b/>
          <w:color w:val="000000" w:themeColor="text1"/>
          <w:lang w:val="en-GB"/>
        </w:rPr>
        <w:t>number</w:t>
      </w:r>
      <w:r w:rsidR="00ED4279" w:rsidRPr="008E781C">
        <w:rPr>
          <w:b/>
          <w:color w:val="000000" w:themeColor="text1"/>
          <w:lang w:val="en-GB"/>
        </w:rPr>
        <w:t xml:space="preserve"> of</w:t>
      </w:r>
      <w:r w:rsidR="000930F3" w:rsidRPr="008E781C">
        <w:rPr>
          <w:b/>
          <w:color w:val="000000" w:themeColor="text1"/>
          <w:lang w:val="en-GB"/>
        </w:rPr>
        <w:t xml:space="preserve"> real </w:t>
      </w:r>
      <w:r w:rsidR="00A32DE2" w:rsidRPr="008E781C">
        <w:rPr>
          <w:b/>
          <w:color w:val="000000" w:themeColor="text1"/>
          <w:lang w:val="en-GB"/>
        </w:rPr>
        <w:t>estate</w:t>
      </w:r>
      <w:r w:rsidR="000930F3" w:rsidRPr="008E781C">
        <w:rPr>
          <w:b/>
          <w:color w:val="000000" w:themeColor="text1"/>
          <w:lang w:val="en-GB"/>
        </w:rPr>
        <w:t xml:space="preserve"> </w:t>
      </w:r>
      <w:r w:rsidR="00A32DE2" w:rsidRPr="008E781C">
        <w:rPr>
          <w:b/>
          <w:color w:val="000000" w:themeColor="text1"/>
          <w:lang w:val="en-GB"/>
        </w:rPr>
        <w:t xml:space="preserve">assets </w:t>
      </w:r>
      <w:r w:rsidR="000930F3" w:rsidRPr="008E781C">
        <w:rPr>
          <w:b/>
          <w:color w:val="000000" w:themeColor="text1"/>
          <w:lang w:val="en-GB"/>
        </w:rPr>
        <w:t>sold</w:t>
      </w:r>
      <w:r w:rsidR="000930F3" w:rsidRPr="008E781C">
        <w:rPr>
          <w:color w:val="000000" w:themeColor="text1"/>
          <w:lang w:val="en-GB"/>
        </w:rPr>
        <w:t xml:space="preserve"> – 490 properties out of 830,000 available – is </w:t>
      </w:r>
      <w:r w:rsidR="000930F3" w:rsidRPr="008E781C">
        <w:rPr>
          <w:b/>
          <w:color w:val="000000" w:themeColor="text1"/>
          <w:lang w:val="en-GB"/>
        </w:rPr>
        <w:t>low</w:t>
      </w:r>
      <w:r w:rsidR="000930F3" w:rsidRPr="008E781C">
        <w:rPr>
          <w:color w:val="000000" w:themeColor="text1"/>
          <w:lang w:val="en-GB"/>
        </w:rPr>
        <w:t xml:space="preserve">. </w:t>
      </w:r>
      <w:r w:rsidR="00A32DE2" w:rsidRPr="008E781C">
        <w:rPr>
          <w:color w:val="000000" w:themeColor="text1"/>
          <w:lang w:val="en-GB"/>
        </w:rPr>
        <w:t xml:space="preserve">According to this study, in 2015, </w:t>
      </w:r>
      <w:r w:rsidR="000930F3" w:rsidRPr="008E781C">
        <w:rPr>
          <w:color w:val="000000" w:themeColor="text1"/>
          <w:lang w:val="en-GB"/>
        </w:rPr>
        <w:t>5</w:t>
      </w:r>
      <w:r w:rsidR="00ED4279" w:rsidRPr="008E781C">
        <w:rPr>
          <w:color w:val="000000" w:themeColor="text1"/>
          <w:lang w:val="en-GB"/>
        </w:rPr>
        <w:t>,</w:t>
      </w:r>
      <w:r w:rsidR="000930F3" w:rsidRPr="008E781C">
        <w:rPr>
          <w:color w:val="000000" w:themeColor="text1"/>
          <w:lang w:val="en-GB"/>
        </w:rPr>
        <w:t>2</w:t>
      </w:r>
      <w:r w:rsidR="00A32DE2" w:rsidRPr="008E781C">
        <w:rPr>
          <w:color w:val="000000" w:themeColor="text1"/>
          <w:lang w:val="en-GB"/>
        </w:rPr>
        <w:t>0% of the sale of real estate assets valued</w:t>
      </w:r>
      <w:r w:rsidR="00ED4279" w:rsidRPr="008E781C">
        <w:rPr>
          <w:color w:val="000000" w:themeColor="text1"/>
          <w:lang w:val="en-GB"/>
        </w:rPr>
        <w:t xml:space="preserve"> </w:t>
      </w:r>
      <w:r w:rsidRPr="008E781C">
        <w:rPr>
          <w:color w:val="000000" w:themeColor="text1"/>
          <w:lang w:val="en-GB"/>
        </w:rPr>
        <w:t xml:space="preserve">at </w:t>
      </w:r>
      <w:r w:rsidR="0094689A" w:rsidRPr="008E781C">
        <w:rPr>
          <w:color w:val="000000" w:themeColor="text1"/>
          <w:lang w:val="en-GB"/>
        </w:rPr>
        <w:t>EUR</w:t>
      </w:r>
      <w:r w:rsidR="00ED4279" w:rsidRPr="008E781C">
        <w:rPr>
          <w:color w:val="000000" w:themeColor="text1"/>
          <w:lang w:val="en-GB"/>
        </w:rPr>
        <w:t xml:space="preserve"> </w:t>
      </w:r>
      <w:r w:rsidR="00A32DE2" w:rsidRPr="008E781C">
        <w:rPr>
          <w:color w:val="000000" w:themeColor="text1"/>
          <w:lang w:val="en-GB"/>
        </w:rPr>
        <w:t>500,000 or more were c</w:t>
      </w:r>
      <w:r w:rsidR="002975D8" w:rsidRPr="008E781C">
        <w:rPr>
          <w:color w:val="000000" w:themeColor="text1"/>
          <w:lang w:val="en-GB"/>
        </w:rPr>
        <w:t>arried out by foreign investors and 44</w:t>
      </w:r>
      <w:r w:rsidR="00ED4279" w:rsidRPr="008E781C">
        <w:rPr>
          <w:color w:val="000000" w:themeColor="text1"/>
          <w:lang w:val="en-GB"/>
        </w:rPr>
        <w:t>,</w:t>
      </w:r>
      <w:r w:rsidR="002975D8" w:rsidRPr="008E781C">
        <w:rPr>
          <w:color w:val="000000" w:themeColor="text1"/>
          <w:lang w:val="en-GB"/>
        </w:rPr>
        <w:t>89% of these were from outside the EU. Data is slightly higher than</w:t>
      </w:r>
      <w:r w:rsidR="00ED4279" w:rsidRPr="008E781C">
        <w:rPr>
          <w:color w:val="000000" w:themeColor="text1"/>
          <w:lang w:val="en-GB"/>
        </w:rPr>
        <w:t xml:space="preserve"> the one</w:t>
      </w:r>
      <w:r w:rsidR="00424CCE" w:rsidRPr="008E781C">
        <w:rPr>
          <w:color w:val="000000" w:themeColor="text1"/>
          <w:lang w:val="en-GB"/>
        </w:rPr>
        <w:t>s</w:t>
      </w:r>
      <w:r w:rsidR="002975D8" w:rsidRPr="008E781C">
        <w:rPr>
          <w:color w:val="000000" w:themeColor="text1"/>
          <w:lang w:val="en-GB"/>
        </w:rPr>
        <w:t xml:space="preserve"> </w:t>
      </w:r>
      <w:r w:rsidR="00ED4279" w:rsidRPr="008E781C">
        <w:rPr>
          <w:color w:val="000000" w:themeColor="text1"/>
          <w:lang w:val="en-GB"/>
        </w:rPr>
        <w:t xml:space="preserve">of </w:t>
      </w:r>
      <w:r w:rsidR="002975D8" w:rsidRPr="008E781C">
        <w:rPr>
          <w:color w:val="000000" w:themeColor="text1"/>
          <w:lang w:val="en-GB"/>
        </w:rPr>
        <w:t xml:space="preserve">2013 and 2014, which would mean that the effect of the scheme is not very significant. </w:t>
      </w:r>
      <w:r w:rsidR="00424CCE" w:rsidRPr="008E781C">
        <w:rPr>
          <w:color w:val="000000" w:themeColor="text1"/>
          <w:lang w:val="en-GB"/>
        </w:rPr>
        <w:t xml:space="preserve">The study draws a comparison with Portugal, where, for the same period (2012-2015), </w:t>
      </w:r>
      <w:r w:rsidRPr="008E781C">
        <w:rPr>
          <w:color w:val="000000" w:themeColor="text1"/>
          <w:lang w:val="en-GB"/>
        </w:rPr>
        <w:t xml:space="preserve">1,649 </w:t>
      </w:r>
      <w:r w:rsidR="002975D8" w:rsidRPr="008E781C">
        <w:rPr>
          <w:color w:val="000000" w:themeColor="text1"/>
          <w:lang w:val="en-GB"/>
        </w:rPr>
        <w:t>investors</w:t>
      </w:r>
      <w:r w:rsidR="00424CCE" w:rsidRPr="008E781C">
        <w:rPr>
          <w:color w:val="000000" w:themeColor="text1"/>
          <w:lang w:val="en-GB"/>
        </w:rPr>
        <w:t>’</w:t>
      </w:r>
      <w:r w:rsidR="002975D8" w:rsidRPr="008E781C">
        <w:rPr>
          <w:color w:val="000000" w:themeColor="text1"/>
          <w:lang w:val="en-GB"/>
        </w:rPr>
        <w:t xml:space="preserve"> visas </w:t>
      </w:r>
      <w:r w:rsidRPr="008E781C">
        <w:rPr>
          <w:color w:val="000000" w:themeColor="text1"/>
          <w:lang w:val="en-GB"/>
        </w:rPr>
        <w:t>were granted,</w:t>
      </w:r>
      <w:r w:rsidR="002975D8" w:rsidRPr="008E781C">
        <w:rPr>
          <w:color w:val="000000" w:themeColor="text1"/>
          <w:lang w:val="en-GB"/>
        </w:rPr>
        <w:t xml:space="preserve"> </w:t>
      </w:r>
      <w:r w:rsidRPr="008E781C">
        <w:rPr>
          <w:color w:val="000000" w:themeColor="text1"/>
          <w:lang w:val="en-GB"/>
        </w:rPr>
        <w:t>generating</w:t>
      </w:r>
      <w:r w:rsidR="00424CCE" w:rsidRPr="008E781C">
        <w:rPr>
          <w:color w:val="000000" w:themeColor="text1"/>
          <w:lang w:val="en-GB"/>
        </w:rPr>
        <w:t xml:space="preserve"> </w:t>
      </w:r>
      <w:r w:rsidR="002975D8" w:rsidRPr="008E781C">
        <w:rPr>
          <w:color w:val="000000" w:themeColor="text1"/>
          <w:lang w:val="en-GB"/>
        </w:rPr>
        <w:t xml:space="preserve">more than </w:t>
      </w:r>
      <w:r w:rsidR="0094689A" w:rsidRPr="008E781C">
        <w:rPr>
          <w:color w:val="000000" w:themeColor="text1"/>
          <w:lang w:val="en-GB"/>
        </w:rPr>
        <w:t>EUR</w:t>
      </w:r>
      <w:r w:rsidR="00ED4279" w:rsidRPr="008E781C">
        <w:rPr>
          <w:color w:val="000000" w:themeColor="text1"/>
          <w:lang w:val="en-GB"/>
        </w:rPr>
        <w:t xml:space="preserve"> </w:t>
      </w:r>
      <w:r w:rsidR="002975D8" w:rsidRPr="008E781C">
        <w:rPr>
          <w:color w:val="000000" w:themeColor="text1"/>
          <w:lang w:val="en-GB"/>
        </w:rPr>
        <w:t xml:space="preserve">1,100 million. Another issue is the </w:t>
      </w:r>
      <w:r w:rsidR="002975D8" w:rsidRPr="008E781C">
        <w:rPr>
          <w:b/>
          <w:color w:val="000000" w:themeColor="text1"/>
          <w:lang w:val="en-GB"/>
        </w:rPr>
        <w:t>lack of promotion</w:t>
      </w:r>
      <w:r w:rsidR="00424CCE" w:rsidRPr="008E781C">
        <w:rPr>
          <w:b/>
          <w:color w:val="000000" w:themeColor="text1"/>
          <w:lang w:val="en-GB"/>
        </w:rPr>
        <w:t xml:space="preserve"> (awareness-raising)</w:t>
      </w:r>
      <w:r w:rsidR="002975D8" w:rsidRPr="008E781C">
        <w:rPr>
          <w:color w:val="000000" w:themeColor="text1"/>
          <w:lang w:val="en-GB"/>
        </w:rPr>
        <w:t xml:space="preserve"> </w:t>
      </w:r>
      <w:r w:rsidR="00424CCE" w:rsidRPr="008E781C">
        <w:rPr>
          <w:color w:val="000000" w:themeColor="text1"/>
          <w:lang w:val="en-GB"/>
        </w:rPr>
        <w:t xml:space="preserve">by the Spanish government </w:t>
      </w:r>
      <w:r w:rsidR="002975D8" w:rsidRPr="008E781C">
        <w:rPr>
          <w:color w:val="000000" w:themeColor="text1"/>
          <w:lang w:val="en-GB"/>
        </w:rPr>
        <w:t xml:space="preserve">of the existence of </w:t>
      </w:r>
      <w:r w:rsidR="00424CCE" w:rsidRPr="008E781C">
        <w:rPr>
          <w:color w:val="000000" w:themeColor="text1"/>
          <w:lang w:val="en-GB"/>
        </w:rPr>
        <w:t xml:space="preserve">the investors’ residence </w:t>
      </w:r>
      <w:r w:rsidR="002975D8" w:rsidRPr="008E781C">
        <w:rPr>
          <w:color w:val="000000" w:themeColor="text1"/>
          <w:lang w:val="en-GB"/>
        </w:rPr>
        <w:t>scheme</w:t>
      </w:r>
      <w:r w:rsidR="00094653" w:rsidRPr="008E781C">
        <w:rPr>
          <w:color w:val="000000" w:themeColor="text1"/>
          <w:lang w:val="en-GB"/>
        </w:rPr>
        <w:t>s</w:t>
      </w:r>
      <w:r w:rsidR="002975D8" w:rsidRPr="008E781C">
        <w:rPr>
          <w:color w:val="000000" w:themeColor="text1"/>
          <w:lang w:val="en-GB"/>
        </w:rPr>
        <w:t xml:space="preserve">. </w:t>
      </w:r>
      <w:r w:rsidR="00424CCE" w:rsidRPr="008E781C">
        <w:rPr>
          <w:color w:val="000000" w:themeColor="text1"/>
          <w:lang w:val="en-GB"/>
        </w:rPr>
        <w:t>Furthermore</w:t>
      </w:r>
      <w:r w:rsidR="002975D8" w:rsidRPr="008E781C">
        <w:rPr>
          <w:color w:val="000000" w:themeColor="text1"/>
          <w:lang w:val="en-GB"/>
        </w:rPr>
        <w:t>,</w:t>
      </w:r>
      <w:r w:rsidR="00424CCE" w:rsidRPr="008E781C">
        <w:rPr>
          <w:color w:val="000000" w:themeColor="text1"/>
          <w:lang w:val="en-GB"/>
        </w:rPr>
        <w:t xml:space="preserve"> the study also attributes the questionable success of the Spanish investors’ residence schemes </w:t>
      </w:r>
      <w:r w:rsidR="00094653" w:rsidRPr="008E781C">
        <w:rPr>
          <w:color w:val="000000" w:themeColor="text1"/>
          <w:lang w:val="en-GB"/>
        </w:rPr>
        <w:t xml:space="preserve">to </w:t>
      </w:r>
      <w:r w:rsidR="00424CCE" w:rsidRPr="008E781C">
        <w:rPr>
          <w:color w:val="000000" w:themeColor="text1"/>
          <w:lang w:val="en-GB"/>
        </w:rPr>
        <w:t xml:space="preserve">the </w:t>
      </w:r>
      <w:r w:rsidR="00424CCE" w:rsidRPr="008E781C">
        <w:rPr>
          <w:b/>
          <w:color w:val="000000" w:themeColor="text1"/>
          <w:lang w:val="en-GB"/>
        </w:rPr>
        <w:t>long</w:t>
      </w:r>
      <w:r w:rsidR="002975D8" w:rsidRPr="008E781C">
        <w:rPr>
          <w:b/>
          <w:color w:val="000000" w:themeColor="text1"/>
          <w:lang w:val="en-GB"/>
        </w:rPr>
        <w:t xml:space="preserve"> processing times </w:t>
      </w:r>
      <w:r w:rsidR="002975D8" w:rsidRPr="008E781C">
        <w:rPr>
          <w:color w:val="000000" w:themeColor="text1"/>
          <w:lang w:val="en-GB"/>
        </w:rPr>
        <w:t>of the</w:t>
      </w:r>
      <w:r w:rsidR="00424CCE" w:rsidRPr="008E781C">
        <w:rPr>
          <w:color w:val="000000" w:themeColor="text1"/>
          <w:lang w:val="en-GB"/>
        </w:rPr>
        <w:t xml:space="preserve"> investors’ residence permits</w:t>
      </w:r>
      <w:r w:rsidR="002975D8" w:rsidRPr="008E781C">
        <w:rPr>
          <w:color w:val="000000" w:themeColor="text1"/>
          <w:lang w:val="en-GB"/>
        </w:rPr>
        <w:t>. In practice, the procedure last</w:t>
      </w:r>
      <w:r w:rsidR="00ED4279" w:rsidRPr="008E781C">
        <w:rPr>
          <w:color w:val="000000" w:themeColor="text1"/>
          <w:lang w:val="en-GB"/>
        </w:rPr>
        <w:t>s</w:t>
      </w:r>
      <w:r w:rsidR="002975D8" w:rsidRPr="008E781C">
        <w:rPr>
          <w:color w:val="000000" w:themeColor="text1"/>
          <w:lang w:val="en-GB"/>
        </w:rPr>
        <w:t xml:space="preserve"> 40 days instead of </w:t>
      </w:r>
      <w:r w:rsidR="00424CCE" w:rsidRPr="008E781C">
        <w:rPr>
          <w:color w:val="000000" w:themeColor="text1"/>
          <w:lang w:val="en-GB"/>
        </w:rPr>
        <w:t>the ten days set by law</w:t>
      </w:r>
      <w:r w:rsidR="002975D8" w:rsidRPr="008E781C">
        <w:rPr>
          <w:color w:val="000000" w:themeColor="text1"/>
          <w:lang w:val="en-GB"/>
        </w:rPr>
        <w:t xml:space="preserve">. </w:t>
      </w:r>
      <w:r w:rsidR="00ED4279" w:rsidRPr="008E781C">
        <w:rPr>
          <w:color w:val="000000" w:themeColor="text1"/>
          <w:lang w:val="en-GB"/>
        </w:rPr>
        <w:t xml:space="preserve">This 2016 </w:t>
      </w:r>
      <w:r w:rsidR="002975D8" w:rsidRPr="008E781C">
        <w:rPr>
          <w:color w:val="000000" w:themeColor="text1"/>
          <w:lang w:val="en-GB"/>
        </w:rPr>
        <w:t xml:space="preserve">study also mentions the </w:t>
      </w:r>
      <w:r w:rsidR="00CD42AD" w:rsidRPr="008E781C">
        <w:rPr>
          <w:b/>
          <w:color w:val="000000" w:themeColor="text1"/>
          <w:lang w:val="en-GB"/>
        </w:rPr>
        <w:t>discretion</w:t>
      </w:r>
      <w:r w:rsidR="00CD42AD" w:rsidRPr="008E781C">
        <w:rPr>
          <w:color w:val="000000" w:themeColor="text1"/>
          <w:lang w:val="en-GB"/>
        </w:rPr>
        <w:t xml:space="preserve"> of</w:t>
      </w:r>
      <w:r w:rsidR="00424CCE" w:rsidRPr="008E781C">
        <w:rPr>
          <w:color w:val="000000" w:themeColor="text1"/>
          <w:lang w:val="en-GB"/>
        </w:rPr>
        <w:t xml:space="preserve"> the competent authorities</w:t>
      </w:r>
      <w:r w:rsidR="00CD42AD" w:rsidRPr="008E781C">
        <w:rPr>
          <w:color w:val="000000" w:themeColor="text1"/>
          <w:lang w:val="en-GB"/>
        </w:rPr>
        <w:t xml:space="preserve"> in </w:t>
      </w:r>
      <w:r w:rsidR="00094653" w:rsidRPr="008E781C">
        <w:rPr>
          <w:color w:val="000000" w:themeColor="text1"/>
          <w:lang w:val="en-GB"/>
        </w:rPr>
        <w:t>implementing the</w:t>
      </w:r>
      <w:r w:rsidR="00424CCE" w:rsidRPr="008E781C">
        <w:rPr>
          <w:color w:val="000000" w:themeColor="text1"/>
          <w:lang w:val="en-GB"/>
        </w:rPr>
        <w:t xml:space="preserve"> scheme</w:t>
      </w:r>
      <w:r w:rsidR="00094653" w:rsidRPr="008E781C">
        <w:rPr>
          <w:color w:val="000000" w:themeColor="text1"/>
          <w:lang w:val="en-GB"/>
        </w:rPr>
        <w:t>s</w:t>
      </w:r>
      <w:r w:rsidR="00CD42AD" w:rsidRPr="008E781C">
        <w:rPr>
          <w:color w:val="000000" w:themeColor="text1"/>
          <w:lang w:val="en-GB"/>
        </w:rPr>
        <w:t xml:space="preserve"> and the use of different criteria depending on the embassies and consulates (e.g. </w:t>
      </w:r>
      <w:r w:rsidR="00ED4279" w:rsidRPr="008E781C">
        <w:rPr>
          <w:color w:val="000000" w:themeColor="text1"/>
          <w:lang w:val="en-GB"/>
        </w:rPr>
        <w:t>non-admission</w:t>
      </w:r>
      <w:r w:rsidR="00CD42AD" w:rsidRPr="008E781C">
        <w:rPr>
          <w:color w:val="000000" w:themeColor="text1"/>
          <w:lang w:val="en-GB"/>
        </w:rPr>
        <w:t xml:space="preserve"> of electronic </w:t>
      </w:r>
      <w:r w:rsidR="00ED4279" w:rsidRPr="008E781C">
        <w:rPr>
          <w:color w:val="000000" w:themeColor="text1"/>
          <w:lang w:val="en-GB"/>
        </w:rPr>
        <w:t>means</w:t>
      </w:r>
      <w:r w:rsidR="00CD42AD" w:rsidRPr="008E781C">
        <w:rPr>
          <w:color w:val="000000" w:themeColor="text1"/>
          <w:lang w:val="en-GB"/>
        </w:rPr>
        <w:t>)</w:t>
      </w:r>
      <w:r w:rsidR="00424CCE" w:rsidRPr="008E781C">
        <w:rPr>
          <w:color w:val="000000" w:themeColor="text1"/>
          <w:lang w:val="en-GB"/>
        </w:rPr>
        <w:t xml:space="preserve"> as factors that could impact the effectiveness of the schemes</w:t>
      </w:r>
      <w:r w:rsidR="00CD42AD" w:rsidRPr="008E781C">
        <w:rPr>
          <w:color w:val="000000" w:themeColor="text1"/>
          <w:lang w:val="en-GB"/>
        </w:rPr>
        <w:t>.</w:t>
      </w:r>
    </w:p>
    <w:p w14:paraId="5B003CEB" w14:textId="77777777" w:rsidR="00424CCE" w:rsidRPr="008E781C" w:rsidRDefault="00424CCE" w:rsidP="00332A37">
      <w:pPr>
        <w:pStyle w:val="MMultilevel"/>
        <w:numPr>
          <w:ilvl w:val="0"/>
          <w:numId w:val="0"/>
        </w:numPr>
        <w:rPr>
          <w:color w:val="000000" w:themeColor="text1"/>
          <w:lang w:val="en-GB"/>
        </w:rPr>
      </w:pPr>
    </w:p>
    <w:p w14:paraId="7C58C5D3" w14:textId="59D9709D" w:rsidR="000930F3" w:rsidRPr="008E781C" w:rsidRDefault="00424CCE" w:rsidP="00332A37">
      <w:pPr>
        <w:pStyle w:val="MMultilevel"/>
        <w:numPr>
          <w:ilvl w:val="0"/>
          <w:numId w:val="0"/>
        </w:numPr>
        <w:rPr>
          <w:color w:val="000000" w:themeColor="text1"/>
          <w:lang w:val="en-GB"/>
        </w:rPr>
      </w:pPr>
      <w:r w:rsidRPr="008E781C">
        <w:rPr>
          <w:color w:val="000000" w:themeColor="text1"/>
          <w:lang w:val="en-GB"/>
        </w:rPr>
        <w:t xml:space="preserve">According to more </w:t>
      </w:r>
      <w:r w:rsidRPr="008E781C">
        <w:rPr>
          <w:b/>
          <w:color w:val="000000" w:themeColor="text1"/>
          <w:lang w:val="en-GB"/>
        </w:rPr>
        <w:t>recent newspaper articles</w:t>
      </w:r>
      <w:r w:rsidRPr="008E781C">
        <w:rPr>
          <w:color w:val="000000" w:themeColor="text1"/>
          <w:lang w:val="en-GB"/>
        </w:rPr>
        <w:t>,</w:t>
      </w:r>
      <w:r w:rsidR="00ED4279" w:rsidRPr="008E781C">
        <w:rPr>
          <w:rStyle w:val="FootnoteReference"/>
          <w:color w:val="000000" w:themeColor="text1"/>
          <w:lang w:val="en-GB"/>
        </w:rPr>
        <w:footnoteReference w:id="297"/>
      </w:r>
      <w:r w:rsidRPr="008E781C">
        <w:rPr>
          <w:color w:val="000000" w:themeColor="text1"/>
          <w:lang w:val="en-GB"/>
        </w:rPr>
        <w:t xml:space="preserve"> however, the </w:t>
      </w:r>
      <w:r w:rsidRPr="008E781C">
        <w:rPr>
          <w:b/>
          <w:color w:val="000000" w:themeColor="text1"/>
          <w:lang w:val="en-GB"/>
        </w:rPr>
        <w:t xml:space="preserve">success rate of the Spanish investors’ </w:t>
      </w:r>
      <w:r w:rsidRPr="008E781C">
        <w:rPr>
          <w:b/>
          <w:color w:val="000000" w:themeColor="text1"/>
          <w:lang w:val="en-GB"/>
        </w:rPr>
        <w:lastRenderedPageBreak/>
        <w:t xml:space="preserve">schemes </w:t>
      </w:r>
      <w:r w:rsidRPr="008E781C">
        <w:rPr>
          <w:color w:val="000000" w:themeColor="text1"/>
          <w:lang w:val="en-GB"/>
        </w:rPr>
        <w:t>seems to be</w:t>
      </w:r>
      <w:r w:rsidRPr="008E781C">
        <w:rPr>
          <w:b/>
          <w:color w:val="000000" w:themeColor="text1"/>
          <w:lang w:val="en-GB"/>
        </w:rPr>
        <w:t xml:space="preserve"> on the rise</w:t>
      </w:r>
      <w:r w:rsidR="00E5759E" w:rsidRPr="008E781C">
        <w:rPr>
          <w:color w:val="000000" w:themeColor="text1"/>
          <w:lang w:val="en-GB"/>
        </w:rPr>
        <w:t>. According to t</w:t>
      </w:r>
      <w:r w:rsidR="00094653" w:rsidRPr="008E781C">
        <w:rPr>
          <w:color w:val="000000" w:themeColor="text1"/>
          <w:lang w:val="en-GB"/>
        </w:rPr>
        <w:t>hese</w:t>
      </w:r>
      <w:r w:rsidR="00E5759E" w:rsidRPr="008E781C">
        <w:rPr>
          <w:color w:val="000000" w:themeColor="text1"/>
          <w:lang w:val="en-GB"/>
        </w:rPr>
        <w:t xml:space="preserve"> articles</w:t>
      </w:r>
      <w:r w:rsidR="005267AC" w:rsidRPr="008E781C">
        <w:rPr>
          <w:color w:val="000000" w:themeColor="text1"/>
          <w:lang w:val="en-GB"/>
        </w:rPr>
        <w:t>,</w:t>
      </w:r>
      <w:r w:rsidR="00E5759E" w:rsidRPr="008E781C">
        <w:rPr>
          <w:color w:val="000000" w:themeColor="text1"/>
          <w:lang w:val="en-GB"/>
        </w:rPr>
        <w:t xml:space="preserve"> which mention a report by the Ministry of Economy</w:t>
      </w:r>
      <w:r w:rsidR="005267AC" w:rsidRPr="008E781C">
        <w:rPr>
          <w:color w:val="000000" w:themeColor="text1"/>
          <w:lang w:val="en-GB"/>
        </w:rPr>
        <w:t>,</w:t>
      </w:r>
      <w:r w:rsidR="00E5759E" w:rsidRPr="008E781C">
        <w:rPr>
          <w:rStyle w:val="FootnoteReference"/>
          <w:color w:val="000000" w:themeColor="text1"/>
          <w:lang w:val="en-GB"/>
        </w:rPr>
        <w:footnoteReference w:id="298"/>
      </w:r>
      <w:r w:rsidR="005267AC" w:rsidRPr="008E781C">
        <w:rPr>
          <w:color w:val="000000" w:themeColor="text1"/>
          <w:lang w:val="en-GB"/>
        </w:rPr>
        <w:t xml:space="preserve"> the number of international mobility permits </w:t>
      </w:r>
      <w:r w:rsidR="00094653" w:rsidRPr="008E781C">
        <w:rPr>
          <w:color w:val="000000" w:themeColor="text1"/>
          <w:lang w:val="en-GB"/>
        </w:rPr>
        <w:t>increased</w:t>
      </w:r>
      <w:r w:rsidR="005267AC" w:rsidRPr="008E781C">
        <w:rPr>
          <w:color w:val="000000" w:themeColor="text1"/>
          <w:lang w:val="en-GB"/>
        </w:rPr>
        <w:t xml:space="preserve"> from 14,804 in 2015 to 41,094 </w:t>
      </w:r>
      <w:r w:rsidR="005267AC" w:rsidRPr="008E781C">
        <w:rPr>
          <w:b/>
          <w:color w:val="000000" w:themeColor="text1"/>
          <w:lang w:val="en-GB"/>
        </w:rPr>
        <w:t>by the end of 2017</w:t>
      </w:r>
      <w:r w:rsidR="005267AC" w:rsidRPr="008E781C">
        <w:rPr>
          <w:color w:val="000000" w:themeColor="text1"/>
          <w:lang w:val="en-GB"/>
        </w:rPr>
        <w:t xml:space="preserve"> (19,368 corresponding to </w:t>
      </w:r>
      <w:r w:rsidR="00D73BFB" w:rsidRPr="008E781C">
        <w:rPr>
          <w:color w:val="000000" w:themeColor="text1"/>
          <w:lang w:val="en-GB"/>
        </w:rPr>
        <w:t xml:space="preserve">the </w:t>
      </w:r>
      <w:r w:rsidR="00094653" w:rsidRPr="008E781C">
        <w:rPr>
          <w:color w:val="000000" w:themeColor="text1"/>
          <w:lang w:val="en-GB"/>
        </w:rPr>
        <w:t xml:space="preserve">main </w:t>
      </w:r>
      <w:r w:rsidR="00D73BFB" w:rsidRPr="008E781C">
        <w:rPr>
          <w:color w:val="000000" w:themeColor="text1"/>
          <w:lang w:val="en-GB"/>
        </w:rPr>
        <w:t>holder of the permit</w:t>
      </w:r>
      <w:r w:rsidR="005267AC" w:rsidRPr="008E781C">
        <w:rPr>
          <w:color w:val="000000" w:themeColor="text1"/>
          <w:lang w:val="en-GB"/>
        </w:rPr>
        <w:t xml:space="preserve"> and the rest to their family members). From these, </w:t>
      </w:r>
      <w:r w:rsidR="005267AC" w:rsidRPr="008E781C">
        <w:rPr>
          <w:b/>
          <w:color w:val="000000" w:themeColor="text1"/>
          <w:lang w:val="en-GB"/>
        </w:rPr>
        <w:t xml:space="preserve">3,350 </w:t>
      </w:r>
      <w:r w:rsidR="005267AC" w:rsidRPr="008E781C">
        <w:rPr>
          <w:color w:val="000000" w:themeColor="text1"/>
          <w:lang w:val="en-GB"/>
        </w:rPr>
        <w:t xml:space="preserve">(17.30%) of the permits correspond to </w:t>
      </w:r>
      <w:r w:rsidR="005267AC" w:rsidRPr="008E781C">
        <w:rPr>
          <w:b/>
          <w:color w:val="000000" w:themeColor="text1"/>
          <w:lang w:val="en-GB"/>
        </w:rPr>
        <w:t>investors’ residence schemes</w:t>
      </w:r>
      <w:r w:rsidR="005267AC" w:rsidRPr="008E781C">
        <w:rPr>
          <w:color w:val="000000" w:themeColor="text1"/>
          <w:lang w:val="en-GB"/>
        </w:rPr>
        <w:t xml:space="preserve">. Supposedly, such schemes generated a </w:t>
      </w:r>
      <w:r w:rsidR="005267AC" w:rsidRPr="008E781C">
        <w:rPr>
          <w:b/>
          <w:color w:val="000000" w:themeColor="text1"/>
          <w:lang w:val="en-GB"/>
        </w:rPr>
        <w:t>total income of EUR 3</w:t>
      </w:r>
      <w:r w:rsidR="00DC51FB" w:rsidRPr="008E781C">
        <w:rPr>
          <w:b/>
          <w:color w:val="000000" w:themeColor="text1"/>
          <w:lang w:val="en-GB"/>
        </w:rPr>
        <w:t>,</w:t>
      </w:r>
      <w:r w:rsidR="005267AC" w:rsidRPr="008E781C">
        <w:rPr>
          <w:b/>
          <w:color w:val="000000" w:themeColor="text1"/>
          <w:lang w:val="en-GB"/>
        </w:rPr>
        <w:t>026 million</w:t>
      </w:r>
      <w:r w:rsidR="00094653" w:rsidRPr="008E781C">
        <w:rPr>
          <w:b/>
          <w:color w:val="000000" w:themeColor="text1"/>
          <w:lang w:val="en-GB"/>
        </w:rPr>
        <w:t xml:space="preserve"> </w:t>
      </w:r>
      <w:r w:rsidR="00094653" w:rsidRPr="008E781C">
        <w:rPr>
          <w:color w:val="000000" w:themeColor="text1"/>
          <w:lang w:val="en-GB"/>
        </w:rPr>
        <w:t>in 2017</w:t>
      </w:r>
      <w:r w:rsidR="005267AC" w:rsidRPr="008E781C">
        <w:rPr>
          <w:color w:val="000000" w:themeColor="text1"/>
          <w:lang w:val="en-GB"/>
        </w:rPr>
        <w:t xml:space="preserve">, 77.16% more than in 2016. The vast majority of the investments were carried out in the </w:t>
      </w:r>
      <w:r w:rsidR="005267AC" w:rsidRPr="008E781C">
        <w:rPr>
          <w:b/>
          <w:color w:val="000000" w:themeColor="text1"/>
          <w:lang w:val="en-GB"/>
        </w:rPr>
        <w:t>purchase of real estate</w:t>
      </w:r>
      <w:r w:rsidR="005267AC" w:rsidRPr="008E781C">
        <w:rPr>
          <w:color w:val="000000" w:themeColor="text1"/>
          <w:lang w:val="en-GB"/>
        </w:rPr>
        <w:t>: EUR 2,332 million (77.1% of the total income).</w:t>
      </w:r>
      <w:r w:rsidR="00784DF8" w:rsidRPr="008E781C">
        <w:rPr>
          <w:rStyle w:val="FootnoteReference"/>
          <w:color w:val="000000" w:themeColor="text1"/>
          <w:lang w:val="en-GB"/>
        </w:rPr>
        <w:footnoteReference w:id="299"/>
      </w:r>
      <w:r w:rsidR="005267AC" w:rsidRPr="008E781C">
        <w:rPr>
          <w:color w:val="000000" w:themeColor="text1"/>
          <w:lang w:val="en-GB"/>
        </w:rPr>
        <w:t xml:space="preserve"> </w:t>
      </w:r>
      <w:r w:rsidR="00094653" w:rsidRPr="008E781C">
        <w:rPr>
          <w:color w:val="000000" w:themeColor="text1"/>
          <w:lang w:val="en-GB"/>
        </w:rPr>
        <w:t>Most</w:t>
      </w:r>
      <w:r w:rsidR="005267AC" w:rsidRPr="008E781C">
        <w:rPr>
          <w:color w:val="000000" w:themeColor="text1"/>
          <w:lang w:val="en-GB"/>
        </w:rPr>
        <w:t xml:space="preserve"> foreign investors </w:t>
      </w:r>
      <w:r w:rsidR="00094653" w:rsidRPr="008E781C">
        <w:rPr>
          <w:color w:val="000000" w:themeColor="text1"/>
          <w:lang w:val="en-GB"/>
        </w:rPr>
        <w:t>making</w:t>
      </w:r>
      <w:r w:rsidR="005267AC" w:rsidRPr="008E781C">
        <w:rPr>
          <w:color w:val="000000" w:themeColor="text1"/>
          <w:lang w:val="en-GB"/>
        </w:rPr>
        <w:t xml:space="preserve"> </w:t>
      </w:r>
      <w:r w:rsidR="00094653" w:rsidRPr="008E781C">
        <w:rPr>
          <w:color w:val="000000" w:themeColor="text1"/>
          <w:lang w:val="en-GB"/>
        </w:rPr>
        <w:t xml:space="preserve">this </w:t>
      </w:r>
      <w:r w:rsidR="005267AC" w:rsidRPr="008E781C">
        <w:rPr>
          <w:color w:val="000000" w:themeColor="text1"/>
          <w:lang w:val="en-GB"/>
        </w:rPr>
        <w:t xml:space="preserve">type of investment (real estate property purchases) came from </w:t>
      </w:r>
      <w:r w:rsidR="005267AC" w:rsidRPr="008E781C">
        <w:rPr>
          <w:b/>
          <w:color w:val="000000" w:themeColor="text1"/>
          <w:lang w:val="en-GB"/>
        </w:rPr>
        <w:t>China:</w:t>
      </w:r>
      <w:r w:rsidR="005267AC" w:rsidRPr="008E781C">
        <w:rPr>
          <w:color w:val="000000" w:themeColor="text1"/>
          <w:lang w:val="en-GB"/>
        </w:rPr>
        <w:t xml:space="preserve"> </w:t>
      </w:r>
      <w:r w:rsidR="00784DF8" w:rsidRPr="008E781C">
        <w:rPr>
          <w:color w:val="000000" w:themeColor="text1"/>
          <w:lang w:val="en-GB"/>
        </w:rPr>
        <w:t>they represented</w:t>
      </w:r>
      <w:r w:rsidR="005267AC" w:rsidRPr="008E781C">
        <w:rPr>
          <w:color w:val="000000" w:themeColor="text1"/>
          <w:lang w:val="en-GB"/>
        </w:rPr>
        <w:t xml:space="preserve"> 37.3% of the </w:t>
      </w:r>
      <w:r w:rsidR="00784DF8" w:rsidRPr="008E781C">
        <w:rPr>
          <w:color w:val="000000" w:themeColor="text1"/>
          <w:lang w:val="en-GB"/>
        </w:rPr>
        <w:t>purchases carried out</w:t>
      </w:r>
      <w:r w:rsidR="005267AC" w:rsidRPr="008E781C">
        <w:rPr>
          <w:color w:val="000000" w:themeColor="text1"/>
          <w:lang w:val="en-GB"/>
        </w:rPr>
        <w:t xml:space="preserve"> and 32.6% of the total capital invested in this type of transaction. </w:t>
      </w:r>
      <w:r w:rsidR="005267AC" w:rsidRPr="008E781C">
        <w:rPr>
          <w:b/>
          <w:color w:val="000000" w:themeColor="text1"/>
          <w:lang w:val="en-GB"/>
        </w:rPr>
        <w:t>Russians</w:t>
      </w:r>
      <w:r w:rsidR="005267AC" w:rsidRPr="008E781C">
        <w:rPr>
          <w:color w:val="000000" w:themeColor="text1"/>
          <w:lang w:val="en-GB"/>
        </w:rPr>
        <w:t xml:space="preserve"> are the second most numerous group </w:t>
      </w:r>
      <w:r w:rsidR="00784DF8" w:rsidRPr="008E781C">
        <w:rPr>
          <w:color w:val="000000" w:themeColor="text1"/>
          <w:lang w:val="en-GB"/>
        </w:rPr>
        <w:t>representing 26.6% of the transactions carried out and 30.1% of the capital invested. Among the Spanish cities w</w:t>
      </w:r>
      <w:r w:rsidR="00094653" w:rsidRPr="008E781C">
        <w:rPr>
          <w:color w:val="000000" w:themeColor="text1"/>
          <w:lang w:val="en-GB"/>
        </w:rPr>
        <w:t>h</w:t>
      </w:r>
      <w:r w:rsidR="00784DF8" w:rsidRPr="008E781C">
        <w:rPr>
          <w:color w:val="000000" w:themeColor="text1"/>
          <w:lang w:val="en-GB"/>
        </w:rPr>
        <w:t xml:space="preserve">ere real estate purchases were </w:t>
      </w:r>
      <w:r w:rsidR="00094653" w:rsidRPr="008E781C">
        <w:rPr>
          <w:color w:val="000000" w:themeColor="text1"/>
          <w:lang w:val="en-GB"/>
        </w:rPr>
        <w:t>made</w:t>
      </w:r>
      <w:r w:rsidR="00784DF8" w:rsidRPr="008E781C">
        <w:rPr>
          <w:color w:val="000000" w:themeColor="text1"/>
          <w:lang w:val="en-GB"/>
        </w:rPr>
        <w:t xml:space="preserve"> by foreign investors, </w:t>
      </w:r>
      <w:r w:rsidR="00784DF8" w:rsidRPr="008E781C">
        <w:rPr>
          <w:b/>
          <w:color w:val="000000" w:themeColor="text1"/>
          <w:lang w:val="en-GB"/>
        </w:rPr>
        <w:t>Barcelona</w:t>
      </w:r>
      <w:r w:rsidR="00784DF8" w:rsidRPr="008E781C">
        <w:rPr>
          <w:color w:val="000000" w:themeColor="text1"/>
          <w:lang w:val="en-GB"/>
        </w:rPr>
        <w:t xml:space="preserve"> was at the top of the list (with 1,384 purchases), followed by Madrid (490) and Málaga (473).</w:t>
      </w:r>
      <w:r w:rsidR="00784DF8" w:rsidRPr="008E781C">
        <w:rPr>
          <w:rStyle w:val="FootnoteReference"/>
          <w:color w:val="000000" w:themeColor="text1"/>
          <w:lang w:val="en-GB"/>
        </w:rPr>
        <w:footnoteReference w:id="300"/>
      </w:r>
    </w:p>
    <w:p w14:paraId="0A24CFA1" w14:textId="77777777" w:rsidR="00784DF8" w:rsidRPr="008E781C" w:rsidRDefault="00784DF8" w:rsidP="00332A37">
      <w:pPr>
        <w:pStyle w:val="MMultilevel"/>
        <w:numPr>
          <w:ilvl w:val="0"/>
          <w:numId w:val="0"/>
        </w:numPr>
        <w:rPr>
          <w:color w:val="000000" w:themeColor="text1"/>
          <w:lang w:val="en-GB"/>
        </w:rPr>
      </w:pPr>
    </w:p>
    <w:p w14:paraId="139D2028" w14:textId="5C6BDAA4" w:rsidR="00784DF8" w:rsidRPr="008E781C" w:rsidRDefault="00784DF8" w:rsidP="00332A37">
      <w:pPr>
        <w:pStyle w:val="MMultilevel"/>
        <w:numPr>
          <w:ilvl w:val="0"/>
          <w:numId w:val="0"/>
        </w:numPr>
        <w:rPr>
          <w:color w:val="000000" w:themeColor="text1"/>
          <w:lang w:val="en-GB"/>
        </w:rPr>
      </w:pPr>
      <w:r w:rsidRPr="008E781C">
        <w:rPr>
          <w:color w:val="000000" w:themeColor="text1"/>
          <w:lang w:val="en-GB"/>
        </w:rPr>
        <w:t>According to one newspaper article,</w:t>
      </w:r>
      <w:r w:rsidRPr="008E781C">
        <w:rPr>
          <w:rStyle w:val="FootnoteReference"/>
          <w:color w:val="000000" w:themeColor="text1"/>
          <w:lang w:val="en-GB"/>
        </w:rPr>
        <w:footnoteReference w:id="301"/>
      </w:r>
      <w:r w:rsidRPr="008E781C">
        <w:rPr>
          <w:color w:val="000000" w:themeColor="text1"/>
          <w:lang w:val="en-GB"/>
        </w:rPr>
        <w:t xml:space="preserve"> 53 </w:t>
      </w:r>
      <w:r w:rsidRPr="008E781C">
        <w:rPr>
          <w:b/>
          <w:color w:val="000000" w:themeColor="text1"/>
          <w:lang w:val="en-GB"/>
        </w:rPr>
        <w:t xml:space="preserve">Russian </w:t>
      </w:r>
      <w:r w:rsidRPr="008E781C">
        <w:rPr>
          <w:color w:val="000000" w:themeColor="text1"/>
          <w:lang w:val="en-GB"/>
        </w:rPr>
        <w:t xml:space="preserve">citizens </w:t>
      </w:r>
      <w:r w:rsidR="00094653" w:rsidRPr="008E781C">
        <w:rPr>
          <w:color w:val="000000" w:themeColor="text1"/>
          <w:lang w:val="en-GB"/>
        </w:rPr>
        <w:t xml:space="preserve">invested in </w:t>
      </w:r>
      <w:r w:rsidR="00094653" w:rsidRPr="008E781C">
        <w:rPr>
          <w:b/>
          <w:color w:val="000000" w:themeColor="text1"/>
          <w:lang w:val="en-GB"/>
        </w:rPr>
        <w:t>financial assets</w:t>
      </w:r>
      <w:r w:rsidR="00094653" w:rsidRPr="008E781C">
        <w:rPr>
          <w:color w:val="000000" w:themeColor="text1"/>
          <w:lang w:val="en-GB"/>
        </w:rPr>
        <w:t xml:space="preserve"> (public debt, shares or bank deposit), </w:t>
      </w:r>
      <w:r w:rsidR="00DC51FB" w:rsidRPr="008E781C">
        <w:rPr>
          <w:color w:val="000000" w:themeColor="text1"/>
          <w:lang w:val="en-GB"/>
        </w:rPr>
        <w:t>representing an average of EUR 1.1 million each (</w:t>
      </w:r>
      <w:r w:rsidR="00DC51FB" w:rsidRPr="008E781C">
        <w:rPr>
          <w:b/>
          <w:color w:val="000000" w:themeColor="text1"/>
          <w:lang w:val="en-GB"/>
        </w:rPr>
        <w:t>EUR 58.3</w:t>
      </w:r>
      <w:r w:rsidR="00DC51FB" w:rsidRPr="008E781C">
        <w:rPr>
          <w:color w:val="000000" w:themeColor="text1"/>
          <w:lang w:val="en-GB"/>
        </w:rPr>
        <w:t xml:space="preserve"> million in total), followed by 10 </w:t>
      </w:r>
      <w:r w:rsidR="00DC51FB" w:rsidRPr="008E781C">
        <w:rPr>
          <w:b/>
          <w:color w:val="000000" w:themeColor="text1"/>
          <w:lang w:val="en-GB"/>
        </w:rPr>
        <w:t xml:space="preserve">Chinese </w:t>
      </w:r>
      <w:r w:rsidR="00DC51FB" w:rsidRPr="008E781C">
        <w:rPr>
          <w:color w:val="000000" w:themeColor="text1"/>
          <w:lang w:val="en-GB"/>
        </w:rPr>
        <w:t xml:space="preserve">citizens (representing a total of </w:t>
      </w:r>
      <w:r w:rsidR="00DC51FB" w:rsidRPr="008E781C">
        <w:rPr>
          <w:b/>
          <w:color w:val="000000" w:themeColor="text1"/>
          <w:lang w:val="en-GB"/>
        </w:rPr>
        <w:t>EUR 10 million</w:t>
      </w:r>
      <w:r w:rsidR="00DC51FB" w:rsidRPr="008E781C">
        <w:rPr>
          <w:color w:val="000000" w:themeColor="text1"/>
          <w:lang w:val="en-GB"/>
        </w:rPr>
        <w:t xml:space="preserve">) and nine </w:t>
      </w:r>
      <w:r w:rsidR="00DC51FB" w:rsidRPr="008E781C">
        <w:rPr>
          <w:b/>
          <w:color w:val="000000" w:themeColor="text1"/>
          <w:lang w:val="en-GB"/>
        </w:rPr>
        <w:t>Ukrainian</w:t>
      </w:r>
      <w:r w:rsidR="00DC51FB" w:rsidRPr="008E781C">
        <w:rPr>
          <w:color w:val="000000" w:themeColor="text1"/>
          <w:lang w:val="en-GB"/>
        </w:rPr>
        <w:t xml:space="preserve"> citizens (</w:t>
      </w:r>
      <w:r w:rsidR="00DC51FB" w:rsidRPr="008E781C">
        <w:rPr>
          <w:b/>
          <w:color w:val="000000" w:themeColor="text1"/>
          <w:lang w:val="en-GB"/>
        </w:rPr>
        <w:t>EUR 12 million</w:t>
      </w:r>
      <w:r w:rsidR="00DC51FB" w:rsidRPr="008E781C">
        <w:rPr>
          <w:color w:val="000000" w:themeColor="text1"/>
          <w:lang w:val="en-GB"/>
        </w:rPr>
        <w:t>)</w:t>
      </w:r>
      <w:r w:rsidR="00094653" w:rsidRPr="008E781C">
        <w:rPr>
          <w:color w:val="000000" w:themeColor="text1"/>
          <w:lang w:val="en-GB"/>
        </w:rPr>
        <w:t xml:space="preserve"> making this type of investment.</w:t>
      </w:r>
    </w:p>
    <w:p w14:paraId="6E9A0F6B" w14:textId="274E79D4" w:rsidR="00DC51FB" w:rsidRPr="008E781C" w:rsidRDefault="00DC51FB" w:rsidP="00332A37">
      <w:pPr>
        <w:pStyle w:val="MMultilevel"/>
        <w:numPr>
          <w:ilvl w:val="0"/>
          <w:numId w:val="0"/>
        </w:numPr>
        <w:rPr>
          <w:color w:val="000000" w:themeColor="text1"/>
          <w:lang w:val="en-GB"/>
        </w:rPr>
      </w:pPr>
    </w:p>
    <w:p w14:paraId="08A47A88" w14:textId="0291A95A" w:rsidR="00DC51FB" w:rsidRPr="008E781C" w:rsidRDefault="00DC51FB" w:rsidP="00332A37">
      <w:pPr>
        <w:pStyle w:val="MMultilevel"/>
        <w:numPr>
          <w:ilvl w:val="0"/>
          <w:numId w:val="0"/>
        </w:numPr>
        <w:rPr>
          <w:color w:val="000000" w:themeColor="text1"/>
          <w:lang w:val="en-GB"/>
        </w:rPr>
      </w:pPr>
      <w:r w:rsidRPr="008E781C">
        <w:rPr>
          <w:color w:val="000000" w:themeColor="text1"/>
          <w:lang w:val="en-GB"/>
        </w:rPr>
        <w:t xml:space="preserve">For </w:t>
      </w:r>
      <w:r w:rsidRPr="008E781C">
        <w:rPr>
          <w:b/>
          <w:color w:val="000000" w:themeColor="text1"/>
          <w:lang w:val="en-GB"/>
        </w:rPr>
        <w:t>investments in business projects of general interest</w:t>
      </w:r>
      <w:r w:rsidRPr="008E781C">
        <w:rPr>
          <w:color w:val="000000" w:themeColor="text1"/>
          <w:lang w:val="en-GB"/>
        </w:rPr>
        <w:t xml:space="preserve">, six projects were launched in 2017 by </w:t>
      </w:r>
      <w:r w:rsidRPr="008E781C">
        <w:rPr>
          <w:b/>
          <w:color w:val="000000" w:themeColor="text1"/>
          <w:lang w:val="en-GB"/>
        </w:rPr>
        <w:t>Chinese</w:t>
      </w:r>
      <w:r w:rsidRPr="008E781C">
        <w:rPr>
          <w:color w:val="000000" w:themeColor="text1"/>
          <w:lang w:val="en-GB"/>
        </w:rPr>
        <w:t xml:space="preserve"> citizens representing a total investment of </w:t>
      </w:r>
      <w:r w:rsidRPr="008E781C">
        <w:rPr>
          <w:b/>
          <w:color w:val="000000" w:themeColor="text1"/>
          <w:lang w:val="en-GB"/>
        </w:rPr>
        <w:t>EUR 226 million</w:t>
      </w:r>
      <w:r w:rsidRPr="008E781C">
        <w:rPr>
          <w:color w:val="000000" w:themeColor="text1"/>
          <w:lang w:val="en-GB"/>
        </w:rPr>
        <w:t xml:space="preserve"> and the creation of 740 jobs. There were also nine projects invested in by </w:t>
      </w:r>
      <w:r w:rsidRPr="008E781C">
        <w:rPr>
          <w:b/>
          <w:color w:val="000000" w:themeColor="text1"/>
          <w:lang w:val="en-GB"/>
        </w:rPr>
        <w:t>Russians</w:t>
      </w:r>
      <w:r w:rsidRPr="008E781C">
        <w:rPr>
          <w:color w:val="000000" w:themeColor="text1"/>
          <w:lang w:val="en-GB"/>
        </w:rPr>
        <w:t xml:space="preserve"> (representing a </w:t>
      </w:r>
      <w:r w:rsidRPr="008E781C">
        <w:rPr>
          <w:b/>
          <w:color w:val="000000" w:themeColor="text1"/>
          <w:lang w:val="en-GB"/>
        </w:rPr>
        <w:t>EUR 29 million</w:t>
      </w:r>
      <w:r w:rsidRPr="008E781C">
        <w:rPr>
          <w:color w:val="000000" w:themeColor="text1"/>
          <w:lang w:val="en-GB"/>
        </w:rPr>
        <w:t xml:space="preserve"> investment and the creation of 201 jobs) and five by </w:t>
      </w:r>
      <w:r w:rsidRPr="008E781C">
        <w:rPr>
          <w:b/>
          <w:color w:val="000000" w:themeColor="text1"/>
          <w:lang w:val="en-GB"/>
        </w:rPr>
        <w:t xml:space="preserve">Egyptians </w:t>
      </w:r>
      <w:r w:rsidRPr="008E781C">
        <w:rPr>
          <w:color w:val="000000" w:themeColor="text1"/>
          <w:lang w:val="en-GB"/>
        </w:rPr>
        <w:t xml:space="preserve">(representing a </w:t>
      </w:r>
      <w:r w:rsidRPr="008E781C">
        <w:rPr>
          <w:b/>
          <w:color w:val="000000" w:themeColor="text1"/>
          <w:lang w:val="en-GB"/>
        </w:rPr>
        <w:t>EUR 8 million</w:t>
      </w:r>
      <w:r w:rsidRPr="008E781C">
        <w:rPr>
          <w:color w:val="000000" w:themeColor="text1"/>
          <w:lang w:val="en-GB"/>
        </w:rPr>
        <w:t xml:space="preserve"> investment and the creation of 175 jobs).</w:t>
      </w:r>
    </w:p>
    <w:p w14:paraId="291A9194" w14:textId="6CC95E47" w:rsidR="00DC51FB" w:rsidRPr="008E781C" w:rsidRDefault="00DC51FB" w:rsidP="00332A37">
      <w:pPr>
        <w:pStyle w:val="MMultilevel"/>
        <w:numPr>
          <w:ilvl w:val="0"/>
          <w:numId w:val="0"/>
        </w:numPr>
        <w:rPr>
          <w:color w:val="000000" w:themeColor="text1"/>
          <w:lang w:val="en-GB"/>
        </w:rPr>
      </w:pPr>
    </w:p>
    <w:p w14:paraId="0432B5EB" w14:textId="422D3C41" w:rsidR="00D73BFB" w:rsidRPr="008E781C" w:rsidRDefault="00D73BFB" w:rsidP="00332A37">
      <w:pPr>
        <w:pStyle w:val="MMultilevel"/>
        <w:numPr>
          <w:ilvl w:val="0"/>
          <w:numId w:val="0"/>
        </w:numPr>
        <w:rPr>
          <w:color w:val="000000" w:themeColor="text1"/>
          <w:lang w:val="en-GB"/>
        </w:rPr>
      </w:pPr>
      <w:r w:rsidRPr="008E781C">
        <w:rPr>
          <w:color w:val="000000" w:themeColor="text1"/>
          <w:lang w:val="en-GB"/>
        </w:rPr>
        <w:t xml:space="preserve">In addition, if the data published in the mentioned newspaper articles is reliable, a total of </w:t>
      </w:r>
      <w:r w:rsidRPr="008E781C">
        <w:rPr>
          <w:b/>
          <w:color w:val="000000" w:themeColor="text1"/>
          <w:lang w:val="en-GB"/>
        </w:rPr>
        <w:t xml:space="preserve">EUR 436,840 </w:t>
      </w:r>
      <w:r w:rsidRPr="008E781C">
        <w:rPr>
          <w:color w:val="000000" w:themeColor="text1"/>
          <w:lang w:val="en-GB"/>
        </w:rPr>
        <w:t xml:space="preserve">was collected by the Spanish Public </w:t>
      </w:r>
      <w:r w:rsidR="00094653" w:rsidRPr="008E781C">
        <w:rPr>
          <w:color w:val="000000" w:themeColor="text1"/>
          <w:lang w:val="en-GB"/>
        </w:rPr>
        <w:t xml:space="preserve">Treasury </w:t>
      </w:r>
      <w:r w:rsidRPr="008E781C">
        <w:rPr>
          <w:color w:val="000000" w:themeColor="text1"/>
          <w:lang w:val="en-GB"/>
        </w:rPr>
        <w:t>in non-refundable fees for the processing and issuance of the investors’ residence permits in 2017.</w:t>
      </w:r>
      <w:r w:rsidR="00A76983" w:rsidRPr="008E781C">
        <w:rPr>
          <w:color w:val="000000" w:themeColor="text1"/>
          <w:lang w:val="en-GB"/>
        </w:rPr>
        <w:t xml:space="preserve"> The fee for the issuance of the investors’ residence visa is EUR 60 and for the investors’ residence authorisation EUR 70.40 which </w:t>
      </w:r>
      <w:r w:rsidR="00F07DC9" w:rsidRPr="008E781C">
        <w:rPr>
          <w:color w:val="000000" w:themeColor="text1"/>
          <w:lang w:val="en-GB"/>
        </w:rPr>
        <w:t xml:space="preserve">adds </w:t>
      </w:r>
      <w:r w:rsidR="00A76983" w:rsidRPr="008E781C">
        <w:rPr>
          <w:color w:val="000000" w:themeColor="text1"/>
          <w:lang w:val="en-GB"/>
        </w:rPr>
        <w:t xml:space="preserve">up to EUR 130.40. Multiplying this by the alleged 3,350 residence permits granted to investors in 2017 (newspaper articles cited above) the total </w:t>
      </w:r>
      <w:r w:rsidR="00F07DC9" w:rsidRPr="008E781C">
        <w:rPr>
          <w:color w:val="000000" w:themeColor="text1"/>
          <w:lang w:val="en-GB"/>
        </w:rPr>
        <w:t xml:space="preserve">amount </w:t>
      </w:r>
      <w:r w:rsidR="00A76983" w:rsidRPr="008E781C">
        <w:rPr>
          <w:color w:val="000000" w:themeColor="text1"/>
          <w:lang w:val="en-GB"/>
        </w:rPr>
        <w:t>fees paid to the Spanish Public Treasury would be of EUR 436,840 in 2017.</w:t>
      </w:r>
      <w:r w:rsidRPr="008E781C">
        <w:rPr>
          <w:color w:val="000000" w:themeColor="text1"/>
          <w:lang w:val="en-GB"/>
        </w:rPr>
        <w:t xml:space="preserve"> </w:t>
      </w:r>
      <w:r w:rsidR="00F07DC9" w:rsidRPr="008E781C">
        <w:rPr>
          <w:color w:val="000000" w:themeColor="text1"/>
          <w:lang w:val="en-GB"/>
        </w:rPr>
        <w:t>This excludes fees</w:t>
      </w:r>
      <w:r w:rsidR="0084042D" w:rsidRPr="008E781C">
        <w:rPr>
          <w:color w:val="000000" w:themeColor="text1"/>
          <w:lang w:val="en-GB"/>
        </w:rPr>
        <w:t xml:space="preserve"> eventually applicable </w:t>
      </w:r>
      <w:r w:rsidR="00F07DC9" w:rsidRPr="008E781C">
        <w:rPr>
          <w:color w:val="000000" w:themeColor="text1"/>
          <w:lang w:val="en-GB"/>
        </w:rPr>
        <w:t>for re</w:t>
      </w:r>
      <w:r w:rsidR="0084042D" w:rsidRPr="008E781C">
        <w:rPr>
          <w:color w:val="000000" w:themeColor="text1"/>
          <w:lang w:val="en-GB"/>
        </w:rPr>
        <w:t>newal of the permits.</w:t>
      </w:r>
    </w:p>
    <w:p w14:paraId="5F636E43" w14:textId="77777777" w:rsidR="00D73BFB" w:rsidRPr="008E781C" w:rsidRDefault="00D73BFB" w:rsidP="00332A37">
      <w:pPr>
        <w:pStyle w:val="MMultilevel"/>
        <w:numPr>
          <w:ilvl w:val="0"/>
          <w:numId w:val="0"/>
        </w:numPr>
        <w:rPr>
          <w:color w:val="000000" w:themeColor="text1"/>
          <w:lang w:val="en-GB"/>
        </w:rPr>
      </w:pPr>
    </w:p>
    <w:p w14:paraId="31193310" w14:textId="7643C7AF" w:rsidR="00293A4E" w:rsidRPr="008E781C" w:rsidRDefault="00094653" w:rsidP="00CD752C">
      <w:pPr>
        <w:pStyle w:val="MMultilevel"/>
        <w:numPr>
          <w:ilvl w:val="0"/>
          <w:numId w:val="0"/>
        </w:numPr>
        <w:rPr>
          <w:lang w:val="en-GB"/>
        </w:rPr>
      </w:pPr>
      <w:r w:rsidRPr="008E781C">
        <w:rPr>
          <w:color w:val="000000" w:themeColor="text1"/>
          <w:lang w:val="en-GB"/>
        </w:rPr>
        <w:t>In light of the above,</w:t>
      </w:r>
      <w:r w:rsidR="00DC51FB" w:rsidRPr="008E781C">
        <w:rPr>
          <w:color w:val="000000" w:themeColor="text1"/>
          <w:lang w:val="en-GB"/>
        </w:rPr>
        <w:t xml:space="preserve"> it would seem</w:t>
      </w:r>
      <w:r w:rsidR="00D73BFB" w:rsidRPr="008E781C">
        <w:rPr>
          <w:color w:val="000000" w:themeColor="text1"/>
          <w:lang w:val="en-GB"/>
        </w:rPr>
        <w:t xml:space="preserve"> that although the Spanish investors’ residence schemes had a slow beginning, they have </w:t>
      </w:r>
      <w:r w:rsidR="002C3FA3" w:rsidRPr="008E781C">
        <w:rPr>
          <w:color w:val="000000" w:themeColor="text1"/>
          <w:lang w:val="en-GB"/>
        </w:rPr>
        <w:t>substantially</w:t>
      </w:r>
      <w:r w:rsidR="00D73BFB" w:rsidRPr="008E781C">
        <w:rPr>
          <w:color w:val="000000" w:themeColor="text1"/>
          <w:lang w:val="en-GB"/>
        </w:rPr>
        <w:t xml:space="preserve"> </w:t>
      </w:r>
      <w:r w:rsidRPr="008E781C">
        <w:rPr>
          <w:color w:val="000000" w:themeColor="text1"/>
          <w:lang w:val="en-GB"/>
        </w:rPr>
        <w:t xml:space="preserve">gained momentum </w:t>
      </w:r>
      <w:r w:rsidR="00D73BFB" w:rsidRPr="008E781C">
        <w:rPr>
          <w:color w:val="000000" w:themeColor="text1"/>
          <w:lang w:val="en-GB"/>
        </w:rPr>
        <w:t>in the last t</w:t>
      </w:r>
      <w:r w:rsidR="00CD752C" w:rsidRPr="008E781C">
        <w:rPr>
          <w:color w:val="000000" w:themeColor="text1"/>
          <w:lang w:val="en-GB"/>
        </w:rPr>
        <w:t>hree</w:t>
      </w:r>
      <w:r w:rsidR="00D73BFB" w:rsidRPr="008E781C">
        <w:rPr>
          <w:color w:val="000000" w:themeColor="text1"/>
          <w:lang w:val="en-GB"/>
        </w:rPr>
        <w:t xml:space="preserve"> years</w:t>
      </w:r>
      <w:bookmarkEnd w:id="39"/>
      <w:r w:rsidR="00CD752C" w:rsidRPr="008E781C">
        <w:rPr>
          <w:color w:val="000000" w:themeColor="text1"/>
          <w:lang w:val="en-GB"/>
        </w:rPr>
        <w:t>, meeting the objectives they were created for: boosting the Spanish economy, increasing its competitiveness at international level and creating jobs.</w:t>
      </w:r>
    </w:p>
    <w:sectPr w:rsidR="00293A4E" w:rsidRPr="008E781C">
      <w:footerReference w:type="default" r:id="rId2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9D2AC4" w14:textId="77777777" w:rsidR="008E781C" w:rsidRDefault="008E781C">
      <w:r>
        <w:separator/>
      </w:r>
    </w:p>
  </w:endnote>
  <w:endnote w:type="continuationSeparator" w:id="0">
    <w:p w14:paraId="52261104" w14:textId="77777777" w:rsidR="008E781C" w:rsidRDefault="008E7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8E781C" w:rsidRPr="008E781C" w:rsidRDefault="008E781C" w:rsidP="008E78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8E781C" w:rsidRDefault="008E781C"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8E781C" w:rsidRPr="00575A75" w14:paraId="457717F8" w14:textId="77777777" w:rsidTr="00204BA5">
      <w:tc>
        <w:tcPr>
          <w:tcW w:w="1201" w:type="pct"/>
        </w:tcPr>
        <w:p w14:paraId="2F80F97D" w14:textId="77777777" w:rsidR="008E781C" w:rsidRPr="001D7DA5" w:rsidRDefault="008E781C" w:rsidP="001C1E15">
          <w:pPr>
            <w:tabs>
              <w:tab w:val="left" w:pos="1212"/>
            </w:tabs>
            <w:ind w:right="360"/>
            <w:rPr>
              <w:i/>
              <w:sz w:val="18"/>
            </w:rPr>
          </w:pPr>
          <w:r>
            <w:rPr>
              <w:i/>
              <w:sz w:val="18"/>
            </w:rPr>
            <w:t xml:space="preserve">Milieu Ltd </w:t>
          </w:r>
        </w:p>
        <w:p w14:paraId="01F0084E" w14:textId="179B940D" w:rsidR="008E781C" w:rsidRPr="001D7DA5" w:rsidRDefault="008E781C"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707B4E48" w14:textId="0A94E491" w:rsidR="008E781C" w:rsidRPr="001D7DA5" w:rsidRDefault="008E781C"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Spain</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626E2C">
            <w:rPr>
              <w:i/>
              <w:noProof/>
              <w:sz w:val="18"/>
            </w:rPr>
            <w:t>2</w:t>
          </w:r>
          <w:r w:rsidRPr="001D7DA5">
            <w:rPr>
              <w:i/>
              <w:noProof/>
              <w:sz w:val="18"/>
            </w:rPr>
            <w:fldChar w:fldCharType="end"/>
          </w:r>
        </w:p>
      </w:tc>
    </w:tr>
  </w:tbl>
  <w:p w14:paraId="7185FE60" w14:textId="77777777" w:rsidR="008E781C" w:rsidRPr="00B311A7" w:rsidRDefault="008E781C"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8E781C" w:rsidRDefault="008E781C"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8E781C" w:rsidRPr="00575A75" w14:paraId="19CF630F" w14:textId="77777777" w:rsidTr="00204BA5">
      <w:tc>
        <w:tcPr>
          <w:tcW w:w="1201" w:type="pct"/>
        </w:tcPr>
        <w:p w14:paraId="039C0FFF" w14:textId="77777777" w:rsidR="008E781C" w:rsidRPr="001D7DA5" w:rsidRDefault="008E781C" w:rsidP="001C1E15">
          <w:pPr>
            <w:tabs>
              <w:tab w:val="left" w:pos="1212"/>
            </w:tabs>
            <w:ind w:right="360"/>
            <w:rPr>
              <w:i/>
              <w:sz w:val="18"/>
            </w:rPr>
          </w:pPr>
          <w:r>
            <w:rPr>
              <w:i/>
              <w:sz w:val="18"/>
            </w:rPr>
            <w:t xml:space="preserve">Milieu Ltd </w:t>
          </w:r>
        </w:p>
        <w:p w14:paraId="151E69DA" w14:textId="468B65ED" w:rsidR="008E781C" w:rsidRPr="001D7DA5" w:rsidRDefault="008E781C"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4ACF9D39" w14:textId="5F95A3B0" w:rsidR="008E781C" w:rsidRPr="001D7DA5" w:rsidRDefault="008E781C"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Spain</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626E2C">
            <w:rPr>
              <w:i/>
              <w:noProof/>
              <w:sz w:val="18"/>
            </w:rPr>
            <w:t>32</w:t>
          </w:r>
          <w:r w:rsidRPr="001D7DA5">
            <w:rPr>
              <w:i/>
              <w:noProof/>
              <w:sz w:val="18"/>
            </w:rPr>
            <w:fldChar w:fldCharType="end"/>
          </w:r>
        </w:p>
      </w:tc>
    </w:tr>
  </w:tbl>
  <w:p w14:paraId="4417F7A3" w14:textId="77777777" w:rsidR="008E781C" w:rsidRPr="00B311A7" w:rsidRDefault="008E781C"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8E781C" w:rsidRDefault="008E781C"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8E781C" w:rsidRPr="00575A75" w14:paraId="086C7379" w14:textId="77777777" w:rsidTr="00204BA5">
      <w:tc>
        <w:tcPr>
          <w:tcW w:w="1201" w:type="pct"/>
        </w:tcPr>
        <w:p w14:paraId="4592EFDD" w14:textId="77777777" w:rsidR="008E781C" w:rsidRPr="001D7DA5" w:rsidRDefault="008E781C" w:rsidP="001C1E15">
          <w:pPr>
            <w:tabs>
              <w:tab w:val="left" w:pos="1212"/>
            </w:tabs>
            <w:ind w:right="360"/>
            <w:rPr>
              <w:i/>
              <w:sz w:val="18"/>
            </w:rPr>
          </w:pPr>
          <w:r>
            <w:rPr>
              <w:i/>
              <w:sz w:val="18"/>
            </w:rPr>
            <w:t xml:space="preserve">Milieu Ltd </w:t>
          </w:r>
        </w:p>
        <w:p w14:paraId="3108CC2D" w14:textId="6CD21F91" w:rsidR="008E781C" w:rsidRPr="001D7DA5" w:rsidRDefault="008E781C" w:rsidP="001C1E15">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398D9A7D" w14:textId="5BF57AF9" w:rsidR="008E781C" w:rsidRPr="001D7DA5" w:rsidRDefault="008E781C"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Spain</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626E2C">
            <w:rPr>
              <w:i/>
              <w:noProof/>
              <w:sz w:val="18"/>
            </w:rPr>
            <w:t>36</w:t>
          </w:r>
          <w:r w:rsidRPr="001D7DA5">
            <w:rPr>
              <w:i/>
              <w:noProof/>
              <w:sz w:val="18"/>
            </w:rPr>
            <w:fldChar w:fldCharType="end"/>
          </w:r>
        </w:p>
      </w:tc>
    </w:tr>
  </w:tbl>
  <w:p w14:paraId="3639AC6E" w14:textId="77777777" w:rsidR="008E781C" w:rsidRPr="00AC2EEB" w:rsidRDefault="008E781C"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F949BB" w14:textId="77777777" w:rsidR="008E781C" w:rsidRDefault="008E781C">
      <w:r>
        <w:separator/>
      </w:r>
    </w:p>
  </w:footnote>
  <w:footnote w:type="continuationSeparator" w:id="0">
    <w:p w14:paraId="1E244CF3" w14:textId="77777777" w:rsidR="008E781C" w:rsidRDefault="008E781C">
      <w:r>
        <w:continuationSeparator/>
      </w:r>
    </w:p>
  </w:footnote>
  <w:footnote w:id="1">
    <w:p w14:paraId="22867A59" w14:textId="35387B2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w:t>
      </w:r>
      <w:r w:rsidRPr="008E781C">
        <w:rPr>
          <w:color w:val="000000" w:themeColor="text1"/>
          <w:szCs w:val="18"/>
        </w:rPr>
        <w:t>Law 14/2013, of 27 September, on the support to entrepreneurs and their internationalisation (</w:t>
      </w:r>
      <w:r w:rsidRPr="008E781C">
        <w:rPr>
          <w:i/>
          <w:color w:val="000000" w:themeColor="text1"/>
          <w:szCs w:val="18"/>
        </w:rPr>
        <w:t>Ley 14/2013, de 27 de septiembre, de apoyo a los emprendedores y su internacionalización</w:t>
      </w:r>
      <w:r w:rsidRPr="008E781C">
        <w:rPr>
          <w:color w:val="000000" w:themeColor="text1"/>
          <w:szCs w:val="18"/>
        </w:rPr>
        <w:t xml:space="preserve">), Official State Gazette 233 of 29 September 2013, BOE-A-2013-10074, available at </w:t>
      </w:r>
      <w:hyperlink r:id="rId1" w:history="1">
        <w:r w:rsidRPr="008E781C">
          <w:rPr>
            <w:rStyle w:val="Hyperlink"/>
            <w:szCs w:val="18"/>
          </w:rPr>
          <w:t>https://www.boe.es/buscar/act.php?id=BOE-A-2013-10074</w:t>
        </w:r>
      </w:hyperlink>
      <w:r w:rsidRPr="008E781C">
        <w:rPr>
          <w:color w:val="000000" w:themeColor="text1"/>
          <w:szCs w:val="18"/>
        </w:rPr>
        <w:t xml:space="preserve"> (Law 14/2013). </w:t>
      </w:r>
    </w:p>
  </w:footnote>
  <w:footnote w:id="2">
    <w:p w14:paraId="587F93E7" w14:textId="74A74B6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Preamble of Law 14/2013, Part I.</w:t>
      </w:r>
    </w:p>
  </w:footnote>
  <w:footnote w:id="3">
    <w:p w14:paraId="6CA17B5E" w14:textId="0B33A03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Preamble of Law 14/2013, Part I.</w:t>
      </w:r>
    </w:p>
  </w:footnote>
  <w:footnote w:id="4">
    <w:p w14:paraId="1DBF3109" w14:textId="33BF6A3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Preamble of Law 14/2013, Part I.</w:t>
      </w:r>
    </w:p>
  </w:footnote>
  <w:footnote w:id="5">
    <w:p w14:paraId="656785A8"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Preamble of Law 14/2013, Part I.</w:t>
      </w:r>
    </w:p>
  </w:footnote>
  <w:footnote w:id="6">
    <w:p w14:paraId="7BBD7067" w14:textId="116DE4A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It should be noted that under the Spanish migration legislation, third-country nationals can apply either for visas or for authorisations (</w:t>
      </w:r>
      <w:r w:rsidRPr="008E781C">
        <w:rPr>
          <w:i/>
          <w:szCs w:val="18"/>
        </w:rPr>
        <w:t>autorizaciones</w:t>
      </w:r>
      <w:r w:rsidRPr="008E781C">
        <w:rPr>
          <w:szCs w:val="18"/>
        </w:rPr>
        <w:t>), which can be of different types (e.g. stay visas, temporary residence visa, residence and work authorisations, self-employment authorisations). While visas are required for the entry in the Spanish territory, authorisations are applied for after the third-country has already entered the Spanish territory to extend their stay and, where applicable, allow them to work. The Spanish migration legislation uses the term ‘permit’ (</w:t>
      </w:r>
      <w:r w:rsidRPr="008E781C">
        <w:rPr>
          <w:i/>
          <w:szCs w:val="18"/>
        </w:rPr>
        <w:t>permiso</w:t>
      </w:r>
      <w:r w:rsidRPr="008E781C">
        <w:rPr>
          <w:szCs w:val="18"/>
        </w:rPr>
        <w:t>) in a broader sense, covering both visas and authorisations. This is the meaning in which it is used in this Report.</w:t>
      </w:r>
    </w:p>
  </w:footnote>
  <w:footnote w:id="7">
    <w:p w14:paraId="6AD4564E" w14:textId="554A64E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Organic Law 4/2000, of 11 January, on the rights and freedoms of foreigners in Spain and their social integration (</w:t>
      </w:r>
      <w:r w:rsidRPr="008E781C">
        <w:rPr>
          <w:i/>
          <w:szCs w:val="18"/>
        </w:rPr>
        <w:t>Ley Orgánica 4/2000, de 11 de enero, sobre derechos y libertades de los extranjeros en España y su integración social</w:t>
      </w:r>
      <w:r w:rsidRPr="008E781C">
        <w:rPr>
          <w:szCs w:val="18"/>
        </w:rPr>
        <w:t xml:space="preserve">), Official State Gazette No. 10/2000 of 12 January 2000, BOE-A-2000-544, available at </w:t>
      </w:r>
      <w:hyperlink r:id="rId2" w:history="1">
        <w:r w:rsidRPr="008E781C">
          <w:rPr>
            <w:rStyle w:val="Hyperlink"/>
            <w:szCs w:val="18"/>
          </w:rPr>
          <w:t>https://www.boe.es/buscar/act.php?id=BOE-A-2000-544</w:t>
        </w:r>
      </w:hyperlink>
      <w:r w:rsidRPr="008E781C">
        <w:rPr>
          <w:szCs w:val="18"/>
        </w:rPr>
        <w:t xml:space="preserve"> (LOEX) (last amended in 2009). The LOEX is developed by Royal Decree 557/2011, of 20 April, adopting the Regulation of Organic Law 4/2000, on the rights and freedoms of foreigners in Spain and their social integration (</w:t>
      </w:r>
      <w:r w:rsidRPr="008E781C">
        <w:rPr>
          <w:i/>
          <w:szCs w:val="18"/>
        </w:rPr>
        <w:t>Real Decreto 557/2011, de 20 de abril, por el que se aprueba el Reglamento de la Ley Orgánica 4/2000, sobre derechos y libertades de los extranjeros en España y su integración social</w:t>
      </w:r>
      <w:r w:rsidRPr="008E781C">
        <w:rPr>
          <w:szCs w:val="18"/>
        </w:rPr>
        <w:t xml:space="preserve">), Official Gazette No. 103/2011 of 3 April 2011, BOE-A-2011-7703, available at </w:t>
      </w:r>
      <w:hyperlink r:id="rId3" w:history="1">
        <w:r w:rsidRPr="008E781C">
          <w:rPr>
            <w:rStyle w:val="Hyperlink"/>
            <w:szCs w:val="18"/>
          </w:rPr>
          <w:t>https://www.boe.es/buscar/act.php?id=BOE-A-2011-7703</w:t>
        </w:r>
      </w:hyperlink>
      <w:r w:rsidRPr="008E781C">
        <w:rPr>
          <w:szCs w:val="18"/>
        </w:rPr>
        <w:t xml:space="preserve"> (RELOEX)(last amended in 2009).</w:t>
      </w:r>
    </w:p>
  </w:footnote>
  <w:footnote w:id="8">
    <w:p w14:paraId="61D781AA" w14:textId="2CB697E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30</w:t>
      </w:r>
      <w:r w:rsidRPr="008E781C">
        <w:rPr>
          <w:i/>
          <w:szCs w:val="18"/>
        </w:rPr>
        <w:t>bis</w:t>
      </w:r>
      <w:r w:rsidRPr="008E781C">
        <w:rPr>
          <w:szCs w:val="18"/>
        </w:rPr>
        <w:t xml:space="preserve"> and 31 LOEX, as developed by Articles 46 to 51 RELOEX; MESS, ‘Report on the implementation on the Section on International Mobility of Law 14/2013 of 27 September on the support to entrepreneurs and their internationalisation’ (</w:t>
      </w:r>
      <w:r w:rsidRPr="008E781C">
        <w:rPr>
          <w:i/>
          <w:szCs w:val="18"/>
        </w:rPr>
        <w:t>Informe sobre la aplicación de la Sección de Movilidad Internacional de la Ley 14/2013, de 27 de septiembre, de apoyo a los emprendedores y su internacionalización</w:t>
      </w:r>
      <w:r w:rsidRPr="008E781C">
        <w:rPr>
          <w:szCs w:val="18"/>
        </w:rPr>
        <w:t xml:space="preserve">), April 2015, available at </w:t>
      </w:r>
      <w:hyperlink r:id="rId4" w:history="1">
        <w:r w:rsidRPr="008E781C">
          <w:rPr>
            <w:rStyle w:val="Hyperlink"/>
            <w:szCs w:val="18"/>
          </w:rPr>
          <w:t>http://extranjeros.empleo.gob.es/es/UnidadGrandesEmpresas/ley14_2013/documentacion/Informe_anual_de_la_Seccion_de_Movilidad_de_la_ley_14_2013.pdf</w:t>
        </w:r>
      </w:hyperlink>
      <w:r w:rsidRPr="008E781C">
        <w:rPr>
          <w:szCs w:val="18"/>
        </w:rPr>
        <w:t xml:space="preserve"> (MESS 2015 Report).</w:t>
      </w:r>
    </w:p>
  </w:footnote>
  <w:footnote w:id="9">
    <w:p w14:paraId="7C628ED6" w14:textId="524DE0B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63 -65 Law 14/2013.</w:t>
      </w:r>
    </w:p>
  </w:footnote>
  <w:footnote w:id="10">
    <w:p w14:paraId="47E15C98" w14:textId="5C0B4A7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66 and 67 Law 14/2013.</w:t>
      </w:r>
    </w:p>
  </w:footnote>
  <w:footnote w:id="11">
    <w:p w14:paraId="7222E22C" w14:textId="7EF9757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 The investor can also request instead a </w:t>
      </w:r>
      <w:r w:rsidRPr="008E781C">
        <w:rPr>
          <w:b/>
          <w:szCs w:val="18"/>
        </w:rPr>
        <w:t>stay visa</w:t>
      </w:r>
      <w:r w:rsidRPr="008E781C">
        <w:rPr>
          <w:szCs w:val="18"/>
        </w:rPr>
        <w:t xml:space="preserve"> as explained in Section II.1 of this Report.</w:t>
      </w:r>
    </w:p>
  </w:footnote>
  <w:footnote w:id="12">
    <w:p w14:paraId="0B221550" w14:textId="2EDBDF4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Law 14/2013.</w:t>
      </w:r>
    </w:p>
  </w:footnote>
  <w:footnote w:id="13">
    <w:p w14:paraId="201125F3" w14:textId="185E899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w:t>
      </w:r>
    </w:p>
  </w:footnote>
  <w:footnote w:id="14">
    <w:p w14:paraId="392E931C" w14:textId="7F3683F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25/2015, of July 28, of second chance mechanism, reduction of the financial burden and other measures of social order (</w:t>
      </w:r>
      <w:r w:rsidRPr="008E781C">
        <w:rPr>
          <w:i/>
          <w:szCs w:val="18"/>
        </w:rPr>
        <w:t>Ley 25/2015, de 28 de julio, de mecanismo de segunda oportunidad, reducción de la carga financiera y otras medidas de orden social</w:t>
      </w:r>
      <w:r w:rsidRPr="008E781C">
        <w:rPr>
          <w:szCs w:val="18"/>
        </w:rPr>
        <w:t xml:space="preserve">) Official State Gazette No. 180 of 29 September 2015, BOE-A-2015-8469, available at </w:t>
      </w:r>
      <w:hyperlink r:id="rId5" w:anchor="dfundecima" w:history="1">
        <w:r w:rsidRPr="008E781C">
          <w:rPr>
            <w:rStyle w:val="Hyperlink"/>
            <w:szCs w:val="18"/>
          </w:rPr>
          <w:t>https://www.boe.es/buscar/act.php?id=BOE-A-2015-8469#dfundecima</w:t>
        </w:r>
      </w:hyperlink>
      <w:r w:rsidRPr="008E781C">
        <w:rPr>
          <w:szCs w:val="18"/>
        </w:rPr>
        <w:t xml:space="preserve"> </w:t>
      </w:r>
    </w:p>
  </w:footnote>
  <w:footnote w:id="15">
    <w:p w14:paraId="7D6A1A38" w14:textId="46F33EB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32 LOEX.</w:t>
      </w:r>
    </w:p>
  </w:footnote>
  <w:footnote w:id="16">
    <w:p w14:paraId="42377828" w14:textId="4298263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148(3) RELOEX waives the requirement of a prior five-year residence to foreigners who legally reside in Spain and (a) are beneficiaries of a retirement pension; (b) are beneficiaries of disability pension; (c) were born in Spain and when they reach the legal age have legally resided in Spain in a continuous way for at least three consecutive years prior to the application for long-term residence; (d) were Spanish citizens but lost their nationality; (e) have been under the guardianship of a Spanish legal entity for five consecutive years before reaching the legal age and applying for long-term residence; (f) stateless persons, refugees or beneficiaries of subsidiary protection who are in the Spanish territory and have the corresponding recognised status by the competent authorities; and (g) have made a note-worthy contribution to the economic, scientific or cultural progress of Spain or to the visibility of Spain abroad.</w:t>
      </w:r>
    </w:p>
  </w:footnote>
  <w:footnote w:id="17">
    <w:p w14:paraId="7EB6623C" w14:textId="3AA7BF4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148(3)(g) RELOEX.</w:t>
      </w:r>
    </w:p>
  </w:footnote>
  <w:footnote w:id="18">
    <w:p w14:paraId="48A1F7B9" w14:textId="43CAAF0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Investors to whom a residence visa or authorisation is granted do not need to apply for and obtain a Foreigner Identification Card (Article 75(4) Law 14/2013).</w:t>
      </w:r>
    </w:p>
  </w:footnote>
  <w:footnote w:id="19">
    <w:p w14:paraId="1910D8FC" w14:textId="1C8CCE4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149(1)(2º) of the Spanish Constitution (</w:t>
      </w:r>
      <w:r w:rsidRPr="008E781C">
        <w:rPr>
          <w:i/>
          <w:szCs w:val="18"/>
        </w:rPr>
        <w:t>Constitución Española</w:t>
      </w:r>
      <w:r w:rsidRPr="008E781C">
        <w:rPr>
          <w:szCs w:val="18"/>
        </w:rPr>
        <w:t xml:space="preserve">), State Gazette 311 of 29 December 1978, BOE-A-1978-31229, available at </w:t>
      </w:r>
      <w:hyperlink r:id="rId6" w:anchor="a148" w:history="1">
        <w:r w:rsidRPr="008E781C">
          <w:rPr>
            <w:rStyle w:val="Hyperlink"/>
            <w:szCs w:val="18"/>
          </w:rPr>
          <w:t>https://www.boe.es/buscar/act.php?id=BOE-A-1978-31229&amp;p=20110927&amp;tn=1#a148</w:t>
        </w:r>
      </w:hyperlink>
      <w:r w:rsidRPr="008E781C">
        <w:rPr>
          <w:szCs w:val="18"/>
        </w:rPr>
        <w:t xml:space="preserve">. </w:t>
      </w:r>
    </w:p>
  </w:footnote>
  <w:footnote w:id="20">
    <w:p w14:paraId="68CC86E8" w14:textId="343CCC4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1(1) of Royal Decree 703/2017, developing the basic organisational structure of the Ministry of Employment and Social Security and modifying Royal Decree 424/2016, of 11 November, establishing the organisational structure of ministerial departments (</w:t>
      </w:r>
      <w:r w:rsidRPr="008E781C">
        <w:rPr>
          <w:i/>
          <w:szCs w:val="18"/>
        </w:rPr>
        <w:t>Real Decreto 703/2017, de 7 de julio, por el que se desarrolla la estructura orgánica básica del Ministerio de Empleo y Seguridad Social y se modifica el Real Decreto 424/2016, de 11 de noviembre, por el que se establece la estructura orgánica básica de los departamentos ministeriales</w:t>
      </w:r>
      <w:r w:rsidRPr="008E781C">
        <w:rPr>
          <w:szCs w:val="18"/>
        </w:rPr>
        <w:t xml:space="preserve">), State Gazette 162 of 8 July 2017, BOE-A-2017-7979, available at </w:t>
      </w:r>
      <w:hyperlink r:id="rId7" w:history="1">
        <w:r w:rsidRPr="008E781C">
          <w:rPr>
            <w:rStyle w:val="Hyperlink"/>
            <w:szCs w:val="18"/>
          </w:rPr>
          <w:t>https://www.boe.es/buscar/act.php?id=BOE-A-2017-7979</w:t>
        </w:r>
      </w:hyperlink>
      <w:r w:rsidRPr="008E781C">
        <w:rPr>
          <w:szCs w:val="18"/>
        </w:rPr>
        <w:t>. The Ministry of Employment and Social Security was previously the Ministry of Employment and Migration, which it replaced in 2011.</w:t>
      </w:r>
    </w:p>
  </w:footnote>
  <w:footnote w:id="21">
    <w:p w14:paraId="1F0E3CA4" w14:textId="4F4ACDB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Website of the Ministry of Employment and Social Security (MESS), available at </w:t>
      </w:r>
      <w:hyperlink r:id="rId8" w:history="1">
        <w:r w:rsidRPr="008E781C">
          <w:rPr>
            <w:rStyle w:val="Hyperlink"/>
            <w:szCs w:val="18"/>
          </w:rPr>
          <w:t>http://www.empleo.gob.es/es/sec_emi/index.htm</w:t>
        </w:r>
      </w:hyperlink>
      <w:r w:rsidRPr="008E781C">
        <w:rPr>
          <w:szCs w:val="18"/>
        </w:rPr>
        <w:t xml:space="preserve">. </w:t>
      </w:r>
    </w:p>
  </w:footnote>
  <w:footnote w:id="22">
    <w:p w14:paraId="69D73807" w14:textId="4E2D326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of Law 14/2013.</w:t>
      </w:r>
    </w:p>
  </w:footnote>
  <w:footnote w:id="23">
    <w:p w14:paraId="69DFED31" w14:textId="7DA5913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UGE-CE website, available at </w:t>
      </w:r>
      <w:hyperlink r:id="rId9" w:history="1">
        <w:r w:rsidRPr="008E781C">
          <w:rPr>
            <w:rStyle w:val="Hyperlink"/>
            <w:szCs w:val="18"/>
          </w:rPr>
          <w:t>http://extranjeros.empleo.gob.es/es/UnidadGrandesEmpresas/index.html</w:t>
        </w:r>
      </w:hyperlink>
      <w:r w:rsidRPr="008E781C">
        <w:rPr>
          <w:szCs w:val="18"/>
        </w:rPr>
        <w:t xml:space="preserve">. </w:t>
      </w:r>
    </w:p>
  </w:footnote>
  <w:footnote w:id="24">
    <w:p w14:paraId="4D5610BB" w14:textId="4D5D46E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in relation with Article 75(1) Law 14/2013</w:t>
      </w:r>
    </w:p>
  </w:footnote>
  <w:footnote w:id="25">
    <w:p w14:paraId="25F7EAEC" w14:textId="4BE67BF1"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63(1) Law 14/2013.</w:t>
      </w:r>
    </w:p>
  </w:footnote>
  <w:footnote w:id="26">
    <w:p w14:paraId="18CBA6E8" w14:textId="636B337E"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LOEX.</w:t>
      </w:r>
    </w:p>
  </w:footnote>
  <w:footnote w:id="27">
    <w:p w14:paraId="4AC9DD2B" w14:textId="0580FE16"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1(1) LOEX.</w:t>
      </w:r>
    </w:p>
  </w:footnote>
  <w:footnote w:id="28">
    <w:p w14:paraId="141D1EF0" w14:textId="581ECD2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1(3) LOEX.</w:t>
      </w:r>
    </w:p>
  </w:footnote>
  <w:footnote w:id="29">
    <w:p w14:paraId="5BA06FD3" w14:textId="102E3AF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63(1) and 65 Law 14/2013.</w:t>
      </w:r>
    </w:p>
  </w:footnote>
  <w:footnote w:id="30">
    <w:p w14:paraId="070A0058" w14:textId="13871ED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 Law 14/2013.</w:t>
      </w:r>
    </w:p>
  </w:footnote>
  <w:footnote w:id="31">
    <w:p w14:paraId="0CC1E680" w14:textId="4075880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 of the </w:t>
      </w:r>
      <w:r>
        <w:rPr>
          <w:szCs w:val="18"/>
        </w:rPr>
        <w:t xml:space="preserve">General Secretariat </w:t>
      </w:r>
      <w:r w:rsidRPr="008E781C">
        <w:rPr>
          <w:szCs w:val="18"/>
        </w:rPr>
        <w:t>on Migration, competent authority, 21 June 2018).</w:t>
      </w:r>
    </w:p>
  </w:footnote>
  <w:footnote w:id="32">
    <w:p w14:paraId="617B8F95" w14:textId="05B26385"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25 LOEX.</w:t>
      </w:r>
    </w:p>
  </w:footnote>
  <w:footnote w:id="33">
    <w:p w14:paraId="01DD3BB5" w14:textId="40D33ACA" w:rsidR="008E781C" w:rsidRPr="008E781C" w:rsidRDefault="008E781C" w:rsidP="008E781C">
      <w:pPr>
        <w:pStyle w:val="FootnoteText"/>
        <w:rPr>
          <w:szCs w:val="18"/>
        </w:rPr>
      </w:pPr>
      <w:r w:rsidRPr="008E781C">
        <w:rPr>
          <w:rStyle w:val="FootnoteReference"/>
          <w:szCs w:val="18"/>
        </w:rPr>
        <w:footnoteRef/>
      </w:r>
      <w:r w:rsidRPr="00626E2C">
        <w:rPr>
          <w:szCs w:val="18"/>
          <w:lang w:val="fr-BE"/>
        </w:rPr>
        <w:t xml:space="preserve"> Article 25(1) LOEX and Article 1 RELOEX. </w:t>
      </w:r>
      <w:r w:rsidRPr="008E781C">
        <w:rPr>
          <w:szCs w:val="18"/>
        </w:rPr>
        <w:t>Authorised border crossings are established by agreement with the authorities of the territory bordering Spain, through an order of the Ministry of State Presidency, on the basis of a joint proposal of the Ministry of Foreign Affairs and Cooperation and Economy and Public Treasury (Article 2 RELOEX).</w:t>
      </w:r>
    </w:p>
  </w:footnote>
  <w:footnote w:id="34">
    <w:p w14:paraId="23F7B9BF" w14:textId="77777777"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25(1) LOEX.</w:t>
      </w:r>
    </w:p>
  </w:footnote>
  <w:footnote w:id="35">
    <w:p w14:paraId="53E66499" w14:textId="122545F0"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4(1)(c) and Article 8 RELOEX, </w:t>
      </w:r>
    </w:p>
  </w:footnote>
  <w:footnote w:id="36">
    <w:p w14:paraId="04507A25" w14:textId="4BD1148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4(1)(e) and 10 RELOEX. This can be either a health certificate issued by the country of origin or can be replaced by a medical examination upon the entry of the foreigner in Spain.</w:t>
      </w:r>
    </w:p>
  </w:footnote>
  <w:footnote w:id="37">
    <w:p w14:paraId="0E4F9640" w14:textId="435B99E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4(1)(f) and 11 RELOEX. Foreigners may be barred from entering the Spanish territory if they have been previously expelled from Spain; are subject to a measure of return (refoulement); are wanted by the police or judicial authorities of other countries in relation to criminal actions deriving from common serious crimes; are subject, expressly, to a ban on entry resulting from a decision of the Ministry of Interior; are prohibiting from entering Spain by virtue of international conventions.</w:t>
      </w:r>
    </w:p>
  </w:footnote>
  <w:footnote w:id="38">
    <w:p w14:paraId="03B0F0E4" w14:textId="0A4BA3D2"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4(1)(g) RELOEX.</w:t>
      </w:r>
    </w:p>
  </w:footnote>
  <w:footnote w:id="39">
    <w:p w14:paraId="4A2E99F3" w14:textId="040406CA" w:rsidR="008E781C" w:rsidRPr="00626E2C" w:rsidRDefault="008E781C" w:rsidP="008E781C">
      <w:pPr>
        <w:pStyle w:val="FootnoteText"/>
        <w:rPr>
          <w:szCs w:val="18"/>
          <w:lang w:val="fr-BE"/>
        </w:rPr>
      </w:pPr>
      <w:r w:rsidRPr="008E781C">
        <w:rPr>
          <w:rStyle w:val="FootnoteReference"/>
          <w:szCs w:val="18"/>
        </w:rPr>
        <w:footnoteRef/>
      </w:r>
      <w:r w:rsidRPr="00626E2C">
        <w:rPr>
          <w:szCs w:val="18"/>
          <w:lang w:val="fr-BE"/>
        </w:rPr>
        <w:t xml:space="preserve"> Article 63(1) Law 14/2013</w:t>
      </w:r>
    </w:p>
  </w:footnote>
  <w:footnote w:id="40">
    <w:p w14:paraId="35FDC5B6" w14:textId="3CA25DA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Regulation (EC) No 810/2009 of the European Parliament and of the Council of 13 July 2009 establishing a Community Code on Visas (Visa Code), OJ L 243, 15.9.2009, p. 1–58, available at </w:t>
      </w:r>
      <w:hyperlink r:id="rId10" w:history="1">
        <w:r w:rsidRPr="008E781C">
          <w:rPr>
            <w:rStyle w:val="Hyperlink"/>
            <w:szCs w:val="18"/>
          </w:rPr>
          <w:t>http://eur-lex.europa.eu/legal-content/EN/TXT/?uri=celex:32009R0810</w:t>
        </w:r>
      </w:hyperlink>
      <w:r w:rsidRPr="008E781C">
        <w:rPr>
          <w:szCs w:val="18"/>
        </w:rPr>
        <w:t xml:space="preserve"> (Regulation 810/2009).</w:t>
      </w:r>
    </w:p>
  </w:footnote>
  <w:footnote w:id="41">
    <w:p w14:paraId="6396A7D0" w14:textId="17E16A2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Regulation (EU) No 265/2010 of the European Parliament and of the Council of 25 March 2010 amending the Convention Implementing the Schengen Agreement and Regulation (EC) No 562/2006 as regards movement of persons with a long-stay visa, available at </w:t>
      </w:r>
      <w:hyperlink r:id="rId11" w:history="1">
        <w:r w:rsidRPr="008E781C">
          <w:rPr>
            <w:rStyle w:val="Hyperlink"/>
            <w:szCs w:val="18"/>
          </w:rPr>
          <w:t>https://eur-lex.europa.eu/legal-content/EN/TXT/?uri=CELEX:02010R0265-20160412</w:t>
        </w:r>
      </w:hyperlink>
      <w:r w:rsidRPr="008E781C">
        <w:rPr>
          <w:szCs w:val="18"/>
        </w:rPr>
        <w:t xml:space="preserve"> (Regulation 265/2010).</w:t>
      </w:r>
    </w:p>
  </w:footnote>
  <w:footnote w:id="42">
    <w:p w14:paraId="0DD2BEA9" w14:textId="73383C3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63(2) Law 14/2013. </w:t>
      </w:r>
    </w:p>
  </w:footnote>
  <w:footnote w:id="43">
    <w:p w14:paraId="68E90C4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35/2003, of November 4, of Collective Investment Institutions (</w:t>
      </w:r>
      <w:r w:rsidRPr="008E781C">
        <w:rPr>
          <w:i/>
          <w:szCs w:val="18"/>
        </w:rPr>
        <w:t>Ley 35/2003, de 4 de noviembre, de Instituciones de Inversión Colectiva</w:t>
      </w:r>
      <w:r w:rsidRPr="008E781C">
        <w:rPr>
          <w:szCs w:val="18"/>
        </w:rPr>
        <w:t>), Official Gazette 265/2003, BOE-A-2003-20331, available at https://www.boe.es/buscar/act.php?id=BOE-A-2003-20331.</w:t>
      </w:r>
    </w:p>
  </w:footnote>
  <w:footnote w:id="44">
    <w:p w14:paraId="4F8899B8"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22/2014, of November 12, which regulates the venture capital entities, other collective investment entities of closed type and the management companies of collective investment entities of closed type, and by which it is modified Law 35/2003 (</w:t>
      </w:r>
      <w:r w:rsidRPr="008E781C">
        <w:rPr>
          <w:i/>
          <w:szCs w:val="18"/>
        </w:rPr>
        <w:t>Ley 22/2014, de 12 de noviembre, por la que se regulan las entidades de capital-riesgo, otras entidades de inversión colectiva de tipo cerrado y las sociedades gestoras de entidades de inversión colectiva de tipo cerrado, y por la que se modifica la Ley 35/2003, de 4 de noviembre</w:t>
      </w:r>
      <w:r w:rsidRPr="008E781C">
        <w:rPr>
          <w:szCs w:val="18"/>
        </w:rPr>
        <w:t xml:space="preserve">), Official Gazette 275/2014, BOE-A-2014, available at </w:t>
      </w:r>
      <w:hyperlink r:id="rId12" w:history="1">
        <w:r w:rsidRPr="008E781C">
          <w:rPr>
            <w:rStyle w:val="Hyperlink"/>
            <w:szCs w:val="18"/>
          </w:rPr>
          <w:t>https://www.boe.es/buscar/act.php?id=BOE-A-2014-11714</w:t>
        </w:r>
      </w:hyperlink>
      <w:r w:rsidRPr="008E781C">
        <w:rPr>
          <w:szCs w:val="18"/>
        </w:rPr>
        <w:t xml:space="preserve">. </w:t>
      </w:r>
    </w:p>
  </w:footnote>
  <w:footnote w:id="45">
    <w:p w14:paraId="467DFBD7"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reference to ‘per applicant’ in the Spanish legislation is due to the fact that the acquisition might be carried out by a married couple. Specifically, Article 63(4) Law 14/2013 provides that when the investments in letters (a) or (b) are carried out by a married couple who has a common property regime or an analogous regime (i.e. a regime in which all goods belong to the couple and are not distinguished per member of the couple) and the amount of the investment does not amount at least to double of the thresholds therein set, it shall be deemed that the investment has been carried out by only one of the members of the couple. The other spouse may, instead of applying for an investors’ residence visa, may apply for a family member visa as explained in Section II.1.5 of this Report.</w:t>
      </w:r>
    </w:p>
  </w:footnote>
  <w:footnote w:id="46">
    <w:p w14:paraId="6A33325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63(2) Law 14/2013.</w:t>
      </w:r>
    </w:p>
  </w:footnote>
  <w:footnote w:id="47">
    <w:p w14:paraId="491ECECE"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63(4) Law 14/2013.</w:t>
      </w:r>
    </w:p>
  </w:footnote>
  <w:footnote w:id="48">
    <w:p w14:paraId="3D3CB365" w14:textId="1E7B357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Under the 50th Additional Provision of Law 9/2017 of 8 November on Public Sector Contracts transposing Directives 2014/23/EU and 2014/24/EU (</w:t>
      </w:r>
      <w:r w:rsidRPr="008E781C">
        <w:rPr>
          <w:i/>
          <w:szCs w:val="18"/>
        </w:rPr>
        <w:t>Ley 9/2017, de 8 de noviembre, de Contratos del Sector Público, por la que se transponen al ordenamiento jurídico español las Directivas del Parlamento Europeo y del Consejo 2014/23/UE y 2014/24/UE, de 26 de febrero de 2014</w:t>
      </w:r>
      <w:r w:rsidRPr="008E781C">
        <w:rPr>
          <w:szCs w:val="18"/>
        </w:rPr>
        <w:t>), Official Gazette 272/2017, available at https://www.boe.es/buscar/act.php?id=BOE-A-2017-12902, the Government has to adopt a list of countries considered a tax haven. However, this list has not yet been adopted. According to the newspaper El Confidencial, some of the countries to be included in the list are Bahrein, Brunei, Gibraltar, Anguilla, Antigua y Barbuda, Bermuda, Cayman Islands, Cook Islands, Dominican Republic, Granada, Fiji, Channel Islands, Malvinas, Isle of Man, Mauritius, etc. Whole list available at El Confidencial, “What is a tax haven for Spain and which countries are included in the ‘black list’?”, (</w:t>
      </w:r>
      <w:r w:rsidRPr="008E781C">
        <w:rPr>
          <w:i/>
          <w:szCs w:val="18"/>
        </w:rPr>
        <w:t>¿Qué es para España un paraíso fiscal y qué países integran la “lista negra”?</w:t>
      </w:r>
      <w:r w:rsidRPr="008E781C">
        <w:rPr>
          <w:szCs w:val="18"/>
        </w:rPr>
        <w:t xml:space="preserve">), November 2017, available at </w:t>
      </w:r>
      <w:hyperlink r:id="rId13" w:history="1">
        <w:r w:rsidRPr="008E781C">
          <w:rPr>
            <w:rStyle w:val="Hyperlink"/>
            <w:szCs w:val="18"/>
          </w:rPr>
          <w:t>https://www.elconfidencial.com/economia/paradise-papers/2017-11-06/papeles-paraiso-fiscal-legislacion-espana_1473396/</w:t>
        </w:r>
      </w:hyperlink>
      <w:r w:rsidRPr="008E781C">
        <w:rPr>
          <w:szCs w:val="18"/>
        </w:rPr>
        <w:t xml:space="preserve">. </w:t>
      </w:r>
    </w:p>
  </w:footnote>
  <w:footnote w:id="49">
    <w:p w14:paraId="3DF08C3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63(3) Law 14/2013</w:t>
      </w:r>
    </w:p>
  </w:footnote>
  <w:footnote w:id="50">
    <w:p w14:paraId="2F516E2F" w14:textId="6C774E6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62(1) and (2) Law 14/2013.</w:t>
      </w:r>
    </w:p>
  </w:footnote>
  <w:footnote w:id="51">
    <w:p w14:paraId="7FAE8E64" w14:textId="5346061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Regulation (EC) No 562/2006 of the European Parliament and of the Council of 15 March 2006 establishing a Community Code on the rules governing the movement of persons across borders (Schengen Borders Code), OJ L 105, 13 April 2006, p. 1-32, available at </w:t>
      </w:r>
      <w:hyperlink r:id="rId14" w:history="1">
        <w:r w:rsidRPr="008E781C">
          <w:rPr>
            <w:rStyle w:val="Hyperlink"/>
            <w:szCs w:val="18"/>
          </w:rPr>
          <w:t>https://eur-lex.europa.eu/legal-content/EN/ALL/?uri=celex%3A32006R0562</w:t>
        </w:r>
      </w:hyperlink>
      <w:r w:rsidRPr="008E781C">
        <w:rPr>
          <w:szCs w:val="18"/>
        </w:rPr>
        <w:t xml:space="preserve">. Repealed and replaced by Regulation (EU) 2016/399 of the European Parliament and of the Council of 9 March 2016 on a Union Code on the rules governing the movement of persons across borders (Schengen Borders Code), OJ L 77, 23 March 2016, available at </w:t>
      </w:r>
      <w:hyperlink r:id="rId15" w:history="1">
        <w:r w:rsidRPr="008E781C">
          <w:rPr>
            <w:rStyle w:val="Hyperlink"/>
            <w:szCs w:val="18"/>
          </w:rPr>
          <w:t>https://eur-lex.europa.eu/legal-content/en/TXT/?uri=CELEX:32016R0399</w:t>
        </w:r>
      </w:hyperlink>
      <w:r w:rsidRPr="008E781C">
        <w:rPr>
          <w:szCs w:val="18"/>
        </w:rPr>
        <w:t xml:space="preserve"> (Regulation (EU) 2016/399). The entry requirements are set in Article 6.</w:t>
      </w:r>
    </w:p>
  </w:footnote>
  <w:footnote w:id="52">
    <w:p w14:paraId="1CC63A6C" w14:textId="7A060AC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10(2) Regulation 810/2009.</w:t>
      </w:r>
    </w:p>
  </w:footnote>
  <w:footnote w:id="53">
    <w:p w14:paraId="45CC466A"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 Regulation (EU) 2016/399.</w:t>
      </w:r>
    </w:p>
  </w:footnote>
  <w:footnote w:id="54">
    <w:p w14:paraId="30805560" w14:textId="6EBAB07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13(2) Regulation 810/2009.</w:t>
      </w:r>
    </w:p>
  </w:footnote>
  <w:footnote w:id="55">
    <w:p w14:paraId="70D7C8A3" w14:textId="34A7A5D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13(2) Regulation 810/2009. Article 13(7) Regulation 810/2009 sets the people who shall be exempt from the requirement to give fingerprints.</w:t>
      </w:r>
    </w:p>
  </w:footnote>
  <w:footnote w:id="56">
    <w:p w14:paraId="76EA9BE8" w14:textId="2363588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14(1)(b) Regulation 810/2009.</w:t>
      </w:r>
    </w:p>
  </w:footnote>
  <w:footnote w:id="57">
    <w:p w14:paraId="64379110" w14:textId="4EEAAA0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14(1)(d) Regulation 810/2009.</w:t>
      </w:r>
    </w:p>
  </w:footnote>
  <w:footnote w:id="58">
    <w:p w14:paraId="50360872" w14:textId="046D557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10(3)(g) in relation with Article 15 Regulation 810/2009.</w:t>
      </w:r>
    </w:p>
  </w:footnote>
  <w:footnote w:id="59">
    <w:p w14:paraId="6ED30812" w14:textId="5B5879F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10(3)(e) in relation with Article 16(1) Regulation 810/2009.</w:t>
      </w:r>
    </w:p>
  </w:footnote>
  <w:footnote w:id="60">
    <w:p w14:paraId="588F4E73"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10(1) of Regulation 810/2009. Consulates may waive the requirement to appear in person when the applicant is known to them for his integrity and reliability (Article 10(2) of Regulation 810/2009).</w:t>
      </w:r>
    </w:p>
  </w:footnote>
  <w:footnote w:id="61">
    <w:p w14:paraId="0CC17536" w14:textId="78C7B86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9(4) in accordance with Articles 42, 43 and 45 of Regulation 810/2009. Under Article 2(11) of the Regulation, an “accredited commercial intermediary” means a private administrative agency, transport company or travel agency (tour operator or retailer). The Spanish legislation allows for the intervention of commercial intermediaries as a consequence of the direct applicability of Regulation 810/2009. Commercial intermediaries who are, thus, given legal power by the applicant may lodge the application. It is logic to think that foreign investors who are business persons will give the necessary power of representation to their appointed commercial intermediaries to file the application on their behalf. In these cases, the commercial intermediary will normally be an administrative agency that takes care of procedures such as this for a business person.</w:t>
      </w:r>
    </w:p>
  </w:footnote>
  <w:footnote w:id="62">
    <w:p w14:paraId="74BA4D8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63(2)(c) Law 14/2013.</w:t>
      </w:r>
    </w:p>
  </w:footnote>
  <w:footnote w:id="63">
    <w:p w14:paraId="2A3CA3E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9(1) of Regulation 810/2009. Stay visas can be for a multiple-entry. In this case, the application must be lodged before the expiry of the visa valid for a period of at least six months.</w:t>
      </w:r>
    </w:p>
  </w:footnote>
  <w:footnote w:id="64">
    <w:p w14:paraId="7369DFB6"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9(2) and (3) of Regulation 810/2009.</w:t>
      </w:r>
    </w:p>
  </w:footnote>
  <w:footnote w:id="65">
    <w:p w14:paraId="1C2BDA3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4(1), 6(1) and 7 of Regulation 810/2009 and Article 75(1) Law 14/2013. </w:t>
      </w:r>
    </w:p>
  </w:footnote>
  <w:footnote w:id="66">
    <w:p w14:paraId="6D060A5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This Office is part of the consulate or diplomatic mission competent to receive, examine and issue the corresponding visa.</w:t>
      </w:r>
    </w:p>
  </w:footnote>
  <w:footnote w:id="67">
    <w:p w14:paraId="10785AAE"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64(c) Law 14/2013.</w:t>
      </w:r>
    </w:p>
  </w:footnote>
  <w:footnote w:id="68">
    <w:p w14:paraId="301EDEE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specific evidentiary means these authorities issue to certify that the investment has been carried out are explained in detail in Section II.2 (table on type of investment) of this Report.</w:t>
      </w:r>
    </w:p>
  </w:footnote>
  <w:footnote w:id="69">
    <w:p w14:paraId="2B599790"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Property Registry registers the acts, contracts and judicial or administrative decisions that affect real estate property and other rights on such property. The Property Registry is attached to the Ministry of Justice and run by the General Directorate of Registers and Notaries (</w:t>
      </w:r>
      <w:r w:rsidRPr="008E781C">
        <w:rPr>
          <w:i/>
          <w:szCs w:val="18"/>
        </w:rPr>
        <w:t>Dirección General de los Registros y del Notariado</w:t>
      </w:r>
      <w:r w:rsidRPr="008E781C">
        <w:rPr>
          <w:szCs w:val="18"/>
        </w:rPr>
        <w:t xml:space="preserve">, DGRN). Information available at the website of the Ministry of Justice </w:t>
      </w:r>
      <w:hyperlink r:id="rId16" w:anchor="id_1215198094406" w:history="1">
        <w:r w:rsidRPr="008E781C">
          <w:rPr>
            <w:rStyle w:val="Hyperlink"/>
            <w:szCs w:val="18"/>
          </w:rPr>
          <w:t>http://www.mjusticia.gob.es/cs/Satellite/Portal/es/areas-tematicas/registros/registro-propiedad#id_1215198094406</w:t>
        </w:r>
      </w:hyperlink>
      <w:r w:rsidRPr="008E781C">
        <w:rPr>
          <w:szCs w:val="18"/>
        </w:rPr>
        <w:t xml:space="preserve">. </w:t>
      </w:r>
    </w:p>
  </w:footnote>
  <w:footnote w:id="70">
    <w:p w14:paraId="4E0DAF08" w14:textId="7991E71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Law 14/2013.</w:t>
      </w:r>
    </w:p>
  </w:footnote>
  <w:footnote w:id="71">
    <w:p w14:paraId="7E009613" w14:textId="6D5B5A5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Law 14/2013.</w:t>
      </w:r>
    </w:p>
  </w:footnote>
  <w:footnote w:id="72">
    <w:p w14:paraId="5226DFC7" w14:textId="1131841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21(8) Regulation 810/2009. </w:t>
      </w:r>
    </w:p>
  </w:footnote>
  <w:footnote w:id="73">
    <w:p w14:paraId="0D48AB90" w14:textId="7972CFD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(Consulate of Spain in Los Angeles, competent authority, 20 June 2018).</w:t>
      </w:r>
    </w:p>
  </w:footnote>
  <w:footnote w:id="74">
    <w:p w14:paraId="58C5931E" w14:textId="74E6E1E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10(3)(a) and 11 of Regulation 810/2009. The form is provided in Annex I to Regulation 810/2009.</w:t>
      </w:r>
    </w:p>
  </w:footnote>
  <w:footnote w:id="75">
    <w:p w14:paraId="4B20D2C9" w14:textId="18CA36C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75(4) Law 14/2013.</w:t>
      </w:r>
    </w:p>
  </w:footnote>
  <w:footnote w:id="76">
    <w:p w14:paraId="144B7198" w14:textId="5CC181E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 of Regulation 810/2009 sets the opportunity for Member States to consult the central authorities of other Member States during the examination of the applications lodged by third-country nationals or specific categories of such nationals.</w:t>
      </w:r>
    </w:p>
  </w:footnote>
  <w:footnote w:id="77">
    <w:p w14:paraId="2AD25DF7" w14:textId="1629C7E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 Regulation 810/2009.</w:t>
      </w:r>
    </w:p>
  </w:footnote>
  <w:footnote w:id="78">
    <w:p w14:paraId="179AD667" w14:textId="3287C0B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30(4) RELOEX in relation with Annex VI to Regulation 810/2009.</w:t>
      </w:r>
    </w:p>
  </w:footnote>
  <w:footnote w:id="79">
    <w:p w14:paraId="6C5D1B1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Council Regulation (EC) No 1683/95 of 29 May 1995 laying down a uniform format for visas, OJ L 164, 14 July 1995, p. 1–4, available at </w:t>
      </w:r>
      <w:hyperlink r:id="rId17" w:history="1">
        <w:r w:rsidRPr="008E781C">
          <w:rPr>
            <w:rStyle w:val="Hyperlink"/>
            <w:szCs w:val="18"/>
          </w:rPr>
          <w:t>https://eur-lex.europa.eu/legal-content/EN/TXT/?uri=celex:31995R1683</w:t>
        </w:r>
      </w:hyperlink>
      <w:r w:rsidRPr="008E781C">
        <w:rPr>
          <w:szCs w:val="18"/>
        </w:rPr>
        <w:t xml:space="preserve">. </w:t>
      </w:r>
    </w:p>
  </w:footnote>
  <w:footnote w:id="80">
    <w:p w14:paraId="4AE57E79" w14:textId="5EED2C0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18 of the Convention Implementing the Schengen Agreement, as amended by Regulation (EU) No 265/2010.</w:t>
      </w:r>
    </w:p>
  </w:footnote>
  <w:footnote w:id="81">
    <w:p w14:paraId="5349361A"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30(5) RELOEX.</w:t>
      </w:r>
    </w:p>
  </w:footnote>
  <w:footnote w:id="82">
    <w:p w14:paraId="3CE3C52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w:t>
      </w:r>
    </w:p>
  </w:footnote>
  <w:footnote w:id="83">
    <w:p w14:paraId="371AD92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64(b), Law 14/2013. The wording of Article 66(2)(b) Law 14/2013 implies that the investors’ residence visa can also be granted for six months instead of for a whole year.</w:t>
      </w:r>
    </w:p>
  </w:footnote>
  <w:footnote w:id="84">
    <w:p w14:paraId="3F6503F7"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65 Law 14/2013. The stay visa does not entitle the holder to work (Article 25bis LOEX). If the investor has obtained a stay visa, once s/he has entered the Spanish territory must apply for a</w:t>
      </w:r>
    </w:p>
  </w:footnote>
  <w:footnote w:id="85">
    <w:p w14:paraId="25415228" w14:textId="6DBB8EA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Fourth Additional Provision, Law 14/2013 and Directive 2011/98/EU of the European Parliament and of the Council of 13 December 2011 on a single application procedure for a single permit for third-country nationals to reside and work in the territory of a Member State and on a common set of rights for third-country workers legally residing in a Member State, OJ L 343, 23 December 2011, available at </w:t>
      </w:r>
      <w:hyperlink r:id="rId18" w:history="1">
        <w:r w:rsidRPr="008E781C">
          <w:rPr>
            <w:rStyle w:val="Hyperlink"/>
            <w:szCs w:val="18"/>
          </w:rPr>
          <w:t>https://eur-lex.europa.eu/legal-content/EN/ALL/?uri=celex%3A32011L0098</w:t>
        </w:r>
      </w:hyperlink>
      <w:r w:rsidRPr="008E781C">
        <w:rPr>
          <w:szCs w:val="18"/>
        </w:rPr>
        <w:t xml:space="preserve"> (Single Permit Directive).</w:t>
      </w:r>
    </w:p>
  </w:footnote>
  <w:footnote w:id="86">
    <w:p w14:paraId="5ECDED5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visas and authorisations regulated under Section II, Title V Law 14/2013 are those concerning investors (Articles 63-67), entrepreneurs (Articles 68-70), highly qualified professionals (Articles 71 and 72) and intra-corporate transfers (Articles 73 and 74). For the purposes of this Report, only the first (investors) are relevant.</w:t>
      </w:r>
    </w:p>
  </w:footnote>
  <w:footnote w:id="87">
    <w:p w14:paraId="768B55C1" w14:textId="7AD9822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in relation with Article 62(3) Law 14/2013.</w:t>
      </w:r>
    </w:p>
  </w:footnote>
  <w:footnote w:id="88">
    <w:p w14:paraId="512C024F" w14:textId="3CE28BC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 third-country nationally is deemed to be illegally in Spain when their stay authorisation has not been renewed, s/he has not obtained the necessary residence authorisation or such authorisation has been expired for over three months or has not requested the renewal of such residence authorisation in the time-frame established by the RELOEX (Article 53(1)(a) LOEX).</w:t>
      </w:r>
    </w:p>
  </w:footnote>
  <w:footnote w:id="89">
    <w:p w14:paraId="580A9235" w14:textId="5427A81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26 LOEX establishes that the entry (and, thus, the issuance of a visa) of third-country nationals may be rejected to those who have been expelled as long as the expulsion measure remains in force, and to those whose entry is prohibited under the law. Such causes are regulated in Article 11 RELOEX and listed above in footnote 27. One of such causes is that Spain has signed a treaty with a country regarding the prohibition of entrance to certain third-country nationals (Article 11(e) RELOEX).</w:t>
      </w:r>
    </w:p>
  </w:footnote>
  <w:footnote w:id="90">
    <w:p w14:paraId="2F8D7BE3" w14:textId="62336FF1" w:rsidR="008E781C" w:rsidRPr="008E781C" w:rsidRDefault="008E781C" w:rsidP="008E781C">
      <w:pPr>
        <w:pStyle w:val="FootnoteText"/>
        <w:rPr>
          <w:szCs w:val="18"/>
          <w:u w:val="single"/>
        </w:rPr>
      </w:pPr>
      <w:r w:rsidRPr="008E781C">
        <w:rPr>
          <w:rStyle w:val="FootnoteReference"/>
          <w:szCs w:val="18"/>
        </w:rPr>
        <w:footnoteRef/>
      </w:r>
      <w:r w:rsidRPr="008E781C">
        <w:rPr>
          <w:szCs w:val="18"/>
        </w:rPr>
        <w:t xml:space="preserve"> Order ESS/1571/2014 of 29 August establishing the amount of the fees for the processing of administrative authorisations concerning international mobility (</w:t>
      </w:r>
      <w:r w:rsidRPr="008E781C">
        <w:rPr>
          <w:i/>
          <w:szCs w:val="18"/>
        </w:rPr>
        <w:t>Orden ESS/1571/2014, de 29 de agosto, por la que se establece el importe de las tasas por tramitación de autorizaciones administrativas en relación con la movilidad internacional</w:t>
      </w:r>
      <w:r w:rsidRPr="008E781C">
        <w:rPr>
          <w:szCs w:val="18"/>
        </w:rPr>
        <w:t xml:space="preserve">), Official Gazette 215/2014, BOE-A-2014-9064, available at </w:t>
      </w:r>
      <w:hyperlink r:id="rId19" w:history="1">
        <w:r w:rsidRPr="008E781C">
          <w:rPr>
            <w:rStyle w:val="Hyperlink"/>
            <w:szCs w:val="18"/>
            <w:u w:val="none"/>
          </w:rPr>
          <w:t>https://www.boe.es/diario_boe/txt.php?id=BOE-A-2014-9064</w:t>
        </w:r>
      </w:hyperlink>
      <w:r w:rsidRPr="008E781C">
        <w:rPr>
          <w:szCs w:val="18"/>
        </w:rPr>
        <w:t>. The document to proof that the fee has been paid is a standardised form of the UGE-CE, available at</w:t>
      </w:r>
      <w:r w:rsidRPr="008E781C">
        <w:rPr>
          <w:szCs w:val="18"/>
          <w:u w:val="single"/>
        </w:rPr>
        <w:t xml:space="preserve"> </w:t>
      </w:r>
      <w:hyperlink r:id="rId20" w:history="1">
        <w:r w:rsidRPr="008E781C">
          <w:rPr>
            <w:rStyle w:val="Hyperlink"/>
            <w:szCs w:val="18"/>
          </w:rPr>
          <w:t>https://expinterweb.empleo.gob.es/Tasa038/presentarFormulario038.action</w:t>
        </w:r>
      </w:hyperlink>
      <w:r w:rsidRPr="008E781C">
        <w:rPr>
          <w:szCs w:val="18"/>
          <w:u w:val="single"/>
        </w:rPr>
        <w:t xml:space="preserve">. </w:t>
      </w:r>
    </w:p>
  </w:footnote>
  <w:footnote w:id="91">
    <w:p w14:paraId="4055F155" w14:textId="218FA08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10/2010, of April 28, on the prevention of money laundering and the financing of terrorism (</w:t>
      </w:r>
      <w:r w:rsidRPr="008E781C">
        <w:rPr>
          <w:i/>
          <w:szCs w:val="18"/>
        </w:rPr>
        <w:t>Ley 10/2010, de 28 de abril, de prevención del blanqueo de capitales y de la financiación del terrorismo</w:t>
      </w:r>
      <w:r w:rsidRPr="008E781C">
        <w:rPr>
          <w:szCs w:val="18"/>
        </w:rPr>
        <w:t xml:space="preserve">), Official Gazette 103/2010, BOE-A-2010-6737, available at </w:t>
      </w:r>
      <w:hyperlink r:id="rId21" w:history="1">
        <w:r w:rsidRPr="008E781C">
          <w:rPr>
            <w:rStyle w:val="Hyperlink"/>
            <w:szCs w:val="18"/>
          </w:rPr>
          <w:t>https://www.boe.es/buscar/act.php?id=BOE-A-2010-6737</w:t>
        </w:r>
      </w:hyperlink>
      <w:r w:rsidRPr="008E781C">
        <w:rPr>
          <w:szCs w:val="18"/>
        </w:rPr>
        <w:t xml:space="preserve"> (Law 10/2010). Law 10/2010 transposes the Directive (EU) 2015/849 of the European Parliament and of the Council of 20 May 2015 on the prevention of the use of the financial system for the purposes of money laundering or terrorist financing, amending Regulation (EU) No 648/2012 of the European Parliament and of the Council, and repealing Directive 2005/60/EC of the European Parliament and of the Council and Commission Directive 2006/70/EC, OJ L 141, 5 June 2015, available at </w:t>
      </w:r>
      <w:hyperlink r:id="rId22" w:history="1">
        <w:r w:rsidRPr="008E781C">
          <w:rPr>
            <w:rStyle w:val="Hyperlink"/>
            <w:szCs w:val="18"/>
          </w:rPr>
          <w:t>https://eur-lex.europa.eu/legal-content/En/TXT/?uri=CELEX:32015L0849</w:t>
        </w:r>
      </w:hyperlink>
      <w:r w:rsidRPr="008E781C">
        <w:rPr>
          <w:szCs w:val="18"/>
        </w:rPr>
        <w:t xml:space="preserve"> (AMLD). </w:t>
      </w:r>
    </w:p>
  </w:footnote>
  <w:footnote w:id="92">
    <w:p w14:paraId="23882497" w14:textId="3C1F430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62(5) Law 14/2013. Such obligations are set in the Law 58/2003 of 17 December adopting the General Tax Law (</w:t>
      </w:r>
      <w:r w:rsidRPr="008E781C">
        <w:rPr>
          <w:i/>
          <w:szCs w:val="18"/>
        </w:rPr>
        <w:t>Ley 58/2003, de 17 de diciembre, General Tributaria</w:t>
      </w:r>
      <w:r w:rsidRPr="008E781C">
        <w:rPr>
          <w:szCs w:val="18"/>
        </w:rPr>
        <w:t xml:space="preserve">), Official Gazette 302/2003, BOE-A-2003-23186, available at </w:t>
      </w:r>
      <w:hyperlink r:id="rId23" w:history="1">
        <w:r w:rsidRPr="008E781C">
          <w:rPr>
            <w:rStyle w:val="Hyperlink"/>
            <w:szCs w:val="18"/>
          </w:rPr>
          <w:t>https://boe.es/buscar/act.php?id=BOE-A-2003-23186</w:t>
        </w:r>
      </w:hyperlink>
      <w:r w:rsidRPr="008E781C">
        <w:rPr>
          <w:szCs w:val="18"/>
        </w:rPr>
        <w:t xml:space="preserve"> (last amended in November 2017) and in Royal Decree Legislative 8/2015, of 30 October, adopting the recast text of the General Law on Social Security (</w:t>
      </w:r>
      <w:r w:rsidRPr="008E781C">
        <w:rPr>
          <w:i/>
          <w:szCs w:val="18"/>
        </w:rPr>
        <w:t>Real Decreto Legislativo 8/2015, de 30 de octubre, por el que se aprueba el texto refundido de la Ley General de la Seguridad Social</w:t>
      </w:r>
      <w:r w:rsidRPr="008E781C">
        <w:rPr>
          <w:szCs w:val="18"/>
        </w:rPr>
        <w:t xml:space="preserve">), Official Gazette 261/2015, BOE-A-2015-11724, available at </w:t>
      </w:r>
      <w:hyperlink r:id="rId24" w:history="1">
        <w:r w:rsidRPr="008E781C">
          <w:rPr>
            <w:rStyle w:val="Hyperlink"/>
            <w:szCs w:val="18"/>
          </w:rPr>
          <w:t>https://www.boe.es/buscar/act.php?id=BOE-A-2015-11724</w:t>
        </w:r>
      </w:hyperlink>
      <w:r w:rsidRPr="008E781C">
        <w:rPr>
          <w:szCs w:val="18"/>
        </w:rPr>
        <w:t xml:space="preserve">. </w:t>
      </w:r>
    </w:p>
  </w:footnote>
  <w:footnote w:id="93">
    <w:p w14:paraId="49630C9B"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Law 14/2013.</w:t>
      </w:r>
    </w:p>
  </w:footnote>
  <w:footnote w:id="94">
    <w:p w14:paraId="7A52AB9F" w14:textId="0F2C4E0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95">
    <w:p w14:paraId="53F0F223" w14:textId="442AB94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and (3) Law 14/2013.</w:t>
      </w:r>
    </w:p>
  </w:footnote>
  <w:footnote w:id="96">
    <w:p w14:paraId="55AD2B48" w14:textId="6622460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website, available at </w:t>
      </w:r>
      <w:hyperlink r:id="rId25" w:history="1">
        <w:r w:rsidRPr="008E781C">
          <w:rPr>
            <w:rStyle w:val="Hyperlink"/>
            <w:szCs w:val="18"/>
          </w:rPr>
          <w:t>http://extranjeros.empleo.gob.es/es/ModelosSolicitudes/ley_14_2013/MI_T_NOV_2016_editable.pdf</w:t>
        </w:r>
      </w:hyperlink>
      <w:r w:rsidRPr="008E781C">
        <w:rPr>
          <w:szCs w:val="18"/>
        </w:rPr>
        <w:t xml:space="preserve">. </w:t>
      </w:r>
    </w:p>
  </w:footnote>
  <w:footnote w:id="97">
    <w:p w14:paraId="516D1EC6" w14:textId="37CB12D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98">
    <w:p w14:paraId="1DEB83C1" w14:textId="393FB4C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website, Electronic Office of the General Directorate of Migrations, Applications on International Mobility (authorisations regulated by Law 14/2013), available at </w:t>
      </w:r>
      <w:hyperlink r:id="rId26" w:history="1">
        <w:r w:rsidRPr="008E781C">
          <w:rPr>
            <w:rStyle w:val="Hyperlink"/>
            <w:szCs w:val="18"/>
          </w:rPr>
          <w:t>https://expinterweb.empleo.gob.es/ley11/inicio/showTramites.action?procedimientoSel=200&amp;proc=5</w:t>
        </w:r>
      </w:hyperlink>
      <w:r w:rsidRPr="008E781C">
        <w:rPr>
          <w:szCs w:val="18"/>
        </w:rPr>
        <w:t xml:space="preserve">. As explained, Law 14/2013 also regulates the residence authorisations of other categories of individuals apart from foreign investors (entrepreneurs, highly qualified professionals and intra-corporate transfers). </w:t>
      </w:r>
    </w:p>
  </w:footnote>
  <w:footnote w:id="99">
    <w:p w14:paraId="4115952F" w14:textId="10490EE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website, Information Point, ‘Filing applications for the residence authorisation for international mobility (authorisations regulated by Law 14/2013)’, available at </w:t>
      </w:r>
      <w:hyperlink r:id="rId27" w:history="1">
        <w:r w:rsidRPr="008E781C">
          <w:rPr>
            <w:rStyle w:val="Hyperlink"/>
            <w:szCs w:val="18"/>
          </w:rPr>
          <w:t>https://expinterweb.empleo.gob.es/ley11/inicio/elegirTramite.action?tramiteSel=0&amp;procedimientoSel=200&amp;proc=5</w:t>
        </w:r>
      </w:hyperlink>
      <w:r w:rsidRPr="008E781C">
        <w:rPr>
          <w:szCs w:val="18"/>
        </w:rPr>
        <w:t xml:space="preserve">. </w:t>
      </w:r>
    </w:p>
  </w:footnote>
  <w:footnote w:id="100">
    <w:p w14:paraId="660F07A3" w14:textId="58F969E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101">
    <w:p w14:paraId="17D9BB87"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and Article 76(1) Law 14/2013.</w:t>
      </w:r>
    </w:p>
  </w:footnote>
  <w:footnote w:id="102">
    <w:p w14:paraId="16FBDC8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and Article 76(1) Law 14/2013.</w:t>
      </w:r>
    </w:p>
  </w:footnote>
  <w:footnote w:id="103">
    <w:p w14:paraId="79A105F1" w14:textId="0A9DD5F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This is due to the legal institution of ‘administrative silence’ recognised by Spanish general administrative law (Articles 24 and 25 Law 39/2015 of 1 October on the Common Administrative Procedure of the Public Authorities (</w:t>
      </w:r>
      <w:r w:rsidRPr="008E781C">
        <w:rPr>
          <w:i/>
          <w:szCs w:val="18"/>
        </w:rPr>
        <w:t>Ley 39/2015, de 1 de octubre, del Procedimiento Administrativo Común de las Administraciones Públicas</w:t>
      </w:r>
      <w:r w:rsidRPr="008E781C">
        <w:rPr>
          <w:szCs w:val="18"/>
        </w:rPr>
        <w:t xml:space="preserve">), Official Gazette 236/2015, BOE-A-2015-10565, available at </w:t>
      </w:r>
      <w:hyperlink r:id="rId28" w:history="1">
        <w:r w:rsidRPr="008E781C">
          <w:rPr>
            <w:rStyle w:val="Hyperlink"/>
            <w:szCs w:val="18"/>
          </w:rPr>
          <w:t>https://boe.es/buscar/act.php?id=BOE-A-2015-10565</w:t>
        </w:r>
      </w:hyperlink>
      <w:r w:rsidRPr="008E781C">
        <w:rPr>
          <w:szCs w:val="18"/>
        </w:rPr>
        <w:t>). Although the general rule is that the lack of an express decision by the competent public authority means that the request is rejected, where the law provides for it, the lack of an express decision means that the request is approved. This is the case with decisions regarding residence authorisations under Law 14/2013.</w:t>
      </w:r>
    </w:p>
  </w:footnote>
  <w:footnote w:id="104">
    <w:p w14:paraId="05E11FD0" w14:textId="6806375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105">
    <w:p w14:paraId="7F5887C4" w14:textId="6D385CD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right to reside and work granted by the investors’ residence authorisation derives from the applicability of the Single Permit Directive (Article 2(c) and 11) (cross-referenced to by the Fourth Additional Provision Law 14/2013).</w:t>
      </w:r>
    </w:p>
  </w:footnote>
  <w:footnote w:id="106">
    <w:p w14:paraId="3489D445" w14:textId="721353F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67(1) Law 14/2013.</w:t>
      </w:r>
    </w:p>
  </w:footnote>
  <w:footnote w:id="107">
    <w:p w14:paraId="3DEE059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108">
    <w:p w14:paraId="79E6BE02" w14:textId="207FFA7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62(2) Law 14/2013.</w:t>
      </w:r>
    </w:p>
  </w:footnote>
  <w:footnote w:id="109">
    <w:p w14:paraId="7011C8E6" w14:textId="3564975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10(3)(e) in relation with Article 16(1) Regulation 810/2009. </w:t>
      </w:r>
    </w:p>
  </w:footnote>
  <w:footnote w:id="110">
    <w:p w14:paraId="71FAA32B" w14:textId="42EC2FD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Annex to Order ESS/1571/2014</w:t>
      </w:r>
      <w:r w:rsidRPr="008E781C">
        <w:rPr>
          <w:szCs w:val="18"/>
          <w:u w:val="single"/>
        </w:rPr>
        <w:t>.</w:t>
      </w:r>
    </w:p>
  </w:footnote>
  <w:footnote w:id="111">
    <w:p w14:paraId="59F05F24" w14:textId="0981C82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22(1)(a) Law 39/2015 and Article 68 Law 39/2015.</w:t>
      </w:r>
    </w:p>
  </w:footnote>
  <w:footnote w:id="112">
    <w:p w14:paraId="63BB9AC2" w14:textId="3C1311E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39/2015 of 1 October on the Common Administrative Procedure of the Public Authorities (</w:t>
      </w:r>
      <w:r w:rsidRPr="008E781C">
        <w:rPr>
          <w:i/>
          <w:szCs w:val="18"/>
        </w:rPr>
        <w:t>Ley 39/2015, de 1 de octubre, del Procedimiento Administrativo Común de las Administraciones Públicas</w:t>
      </w:r>
      <w:r w:rsidRPr="008E781C">
        <w:rPr>
          <w:szCs w:val="18"/>
        </w:rPr>
        <w:t xml:space="preserve">), Official Gazette 236/2015, BOE-A-2015-10565, available at </w:t>
      </w:r>
      <w:hyperlink r:id="rId29" w:history="1">
        <w:r w:rsidRPr="008E781C">
          <w:rPr>
            <w:rStyle w:val="Hyperlink"/>
            <w:szCs w:val="18"/>
          </w:rPr>
          <w:t>https://boe.es/buscar/act.php?id=BOE-A-2015-10565</w:t>
        </w:r>
      </w:hyperlink>
      <w:r w:rsidRPr="008E781C">
        <w:rPr>
          <w:szCs w:val="18"/>
        </w:rPr>
        <w:t xml:space="preserve"> (Law 39/2015). There are three types of appeals under this law: </w:t>
      </w:r>
      <w:r w:rsidRPr="008E781C">
        <w:rPr>
          <w:i/>
          <w:szCs w:val="18"/>
        </w:rPr>
        <w:t xml:space="preserve">alzada </w:t>
      </w:r>
      <w:r w:rsidRPr="008E781C">
        <w:rPr>
          <w:szCs w:val="18"/>
        </w:rPr>
        <w:t xml:space="preserve">and </w:t>
      </w:r>
      <w:r w:rsidRPr="008E781C">
        <w:rPr>
          <w:i/>
          <w:szCs w:val="18"/>
        </w:rPr>
        <w:t>reposición</w:t>
      </w:r>
      <w:r w:rsidRPr="008E781C">
        <w:rPr>
          <w:szCs w:val="18"/>
        </w:rPr>
        <w:t xml:space="preserve"> (Article 112 Law 39/2015), and </w:t>
      </w:r>
      <w:r w:rsidRPr="008E781C">
        <w:rPr>
          <w:i/>
          <w:szCs w:val="18"/>
        </w:rPr>
        <w:t>revisión</w:t>
      </w:r>
      <w:r w:rsidRPr="008E781C">
        <w:rPr>
          <w:szCs w:val="18"/>
        </w:rPr>
        <w:t xml:space="preserve"> (Article 113 Law 39/2015). Due to the singularities and technicalities of these, such terms do not translate into other languages, including English. The type of appeal against administrative decisions ruling on the granting or not of an investors’ residence visa is the </w:t>
      </w:r>
      <w:r w:rsidRPr="008E781C">
        <w:rPr>
          <w:i/>
          <w:szCs w:val="18"/>
        </w:rPr>
        <w:t xml:space="preserve">reposición </w:t>
      </w:r>
      <w:r w:rsidRPr="008E781C">
        <w:rPr>
          <w:szCs w:val="18"/>
        </w:rPr>
        <w:t xml:space="preserve">whereas the appeal against a decision on the investors’ residence authorisation is the </w:t>
      </w:r>
      <w:r w:rsidRPr="008E781C">
        <w:rPr>
          <w:i/>
          <w:szCs w:val="18"/>
        </w:rPr>
        <w:t>alzada</w:t>
      </w:r>
      <w:r w:rsidRPr="008E781C">
        <w:rPr>
          <w:szCs w:val="18"/>
        </w:rPr>
        <w:t xml:space="preserve"> appeal (Article 76(1) Law 14/2013). </w:t>
      </w:r>
    </w:p>
  </w:footnote>
  <w:footnote w:id="113">
    <w:p w14:paraId="2F2CE8C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123(1) Law 39/2015.</w:t>
      </w:r>
    </w:p>
  </w:footnote>
  <w:footnote w:id="114">
    <w:p w14:paraId="68EC08FD"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124(1) Law 39/2015. </w:t>
      </w:r>
    </w:p>
  </w:footnote>
  <w:footnote w:id="115">
    <w:p w14:paraId="4221D02A"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124(1) Law 39/2015.</w:t>
      </w:r>
    </w:p>
  </w:footnote>
  <w:footnote w:id="116">
    <w:p w14:paraId="263BB792"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124(3) Law 39/2015.</w:t>
      </w:r>
    </w:p>
  </w:footnote>
  <w:footnote w:id="117">
    <w:p w14:paraId="5BFE2D7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 this case the </w:t>
      </w:r>
      <w:r w:rsidRPr="008E781C">
        <w:rPr>
          <w:i/>
          <w:szCs w:val="18"/>
        </w:rPr>
        <w:t>recurso extraordinario de revisión</w:t>
      </w:r>
      <w:r w:rsidRPr="008E781C">
        <w:rPr>
          <w:szCs w:val="18"/>
        </w:rPr>
        <w:t>.</w:t>
      </w:r>
    </w:p>
  </w:footnote>
  <w:footnote w:id="118">
    <w:p w14:paraId="24D9DA7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121(1) Law 39/2015.</w:t>
      </w:r>
    </w:p>
  </w:footnote>
  <w:footnote w:id="119">
    <w:p w14:paraId="549F97D2"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121(2) Law 39/2015.</w:t>
      </w:r>
    </w:p>
  </w:footnote>
  <w:footnote w:id="120">
    <w:p w14:paraId="099025CA"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122(1) Law 39/2015.</w:t>
      </w:r>
    </w:p>
  </w:footnote>
  <w:footnote w:id="121">
    <w:p w14:paraId="7A06695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121(2) Law 39/2015.</w:t>
      </w:r>
    </w:p>
  </w:footnote>
  <w:footnote w:id="122">
    <w:p w14:paraId="6303CF7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122(2) Law 39/2015.</w:t>
      </w:r>
    </w:p>
  </w:footnote>
  <w:footnote w:id="123">
    <w:p w14:paraId="243C3173"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122(3) Law 39/2015.</w:t>
      </w:r>
    </w:p>
  </w:footnote>
  <w:footnote w:id="124">
    <w:p w14:paraId="3441DB5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appeal before the administrative courts is a contentious-administrative appeal (</w:t>
      </w:r>
      <w:r w:rsidRPr="008E781C">
        <w:rPr>
          <w:i/>
          <w:szCs w:val="18"/>
        </w:rPr>
        <w:t>recurso contencioso-administrativo</w:t>
      </w:r>
      <w:r w:rsidRPr="008E781C">
        <w:rPr>
          <w:szCs w:val="18"/>
        </w:rPr>
        <w:t>) regulated in Law 29/1998 of 13 July on the Contentious-Administrative Jurisdiction (</w:t>
      </w:r>
      <w:r w:rsidRPr="008E781C">
        <w:rPr>
          <w:i/>
          <w:szCs w:val="18"/>
        </w:rPr>
        <w:t>Ley 29/1998, de 13 de julio, reguladora de la Jurisdicción Contencioso-administrativa</w:t>
      </w:r>
      <w:r w:rsidRPr="008E781C">
        <w:rPr>
          <w:szCs w:val="18"/>
        </w:rPr>
        <w:t xml:space="preserve">) Official Gazette 167/1998, BOE-A-1998-16718, available at </w:t>
      </w:r>
      <w:hyperlink r:id="rId30" w:history="1">
        <w:r w:rsidRPr="008E781C">
          <w:rPr>
            <w:rStyle w:val="Hyperlink"/>
            <w:szCs w:val="18"/>
          </w:rPr>
          <w:t>https://boe.es/buscar/act.php?id=BOE-A-1998-16718</w:t>
        </w:r>
      </w:hyperlink>
      <w:r w:rsidRPr="008E781C">
        <w:rPr>
          <w:szCs w:val="18"/>
        </w:rPr>
        <w:t xml:space="preserve"> (last amended in July 2017) (hereinafter, Law 29/1998).</w:t>
      </w:r>
    </w:p>
  </w:footnote>
  <w:footnote w:id="125">
    <w:p w14:paraId="2596E7FC" w14:textId="396C955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4 Law 39/2015.</w:t>
      </w:r>
    </w:p>
  </w:footnote>
  <w:footnote w:id="126">
    <w:p w14:paraId="083B590B"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This Office is part of the consulate or diplomatic mission competent to receive, examine and issue the corresponding visa.</w:t>
      </w:r>
    </w:p>
  </w:footnote>
  <w:footnote w:id="127">
    <w:p w14:paraId="2110D903"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 Regulation 810/2009.</w:t>
      </w:r>
    </w:p>
  </w:footnote>
  <w:footnote w:id="128">
    <w:p w14:paraId="1E621DC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Law 14/2013</w:t>
      </w:r>
    </w:p>
  </w:footnote>
  <w:footnote w:id="129">
    <w:p w14:paraId="351E603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specific evidentiary means these authorities issue to certify that the investment has been carried out are explained in detail in Section II.2 (table on type of investment) of this Report.</w:t>
      </w:r>
    </w:p>
  </w:footnote>
  <w:footnote w:id="130">
    <w:p w14:paraId="695F26C1" w14:textId="2C2BA4A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Property Registry registers the acts, contracts and judicial or administrative decisions that affect real estate property and other rights on such property. The Property Registry is attached to the Ministry of Justice and run by the General Directorate of Registers and Notaries (</w:t>
      </w:r>
      <w:r w:rsidRPr="008E781C">
        <w:rPr>
          <w:i/>
          <w:szCs w:val="18"/>
        </w:rPr>
        <w:t>Dirección General de los Registros y del Notariado</w:t>
      </w:r>
      <w:r w:rsidRPr="008E781C">
        <w:rPr>
          <w:szCs w:val="18"/>
        </w:rPr>
        <w:t xml:space="preserve">, DGRN). Information available at the website of the Ministry of Justice </w:t>
      </w:r>
      <w:hyperlink r:id="rId31" w:anchor="id_1215198094406" w:history="1">
        <w:r w:rsidRPr="008E781C">
          <w:rPr>
            <w:rStyle w:val="Hyperlink"/>
            <w:szCs w:val="18"/>
          </w:rPr>
          <w:t>http://www.mjusticia.gob.es/cs/Satellite/Portal/es/areas-tematicas/registros/registro-propiedad#id_1215198094406</w:t>
        </w:r>
      </w:hyperlink>
      <w:r w:rsidRPr="008E781C">
        <w:rPr>
          <w:szCs w:val="18"/>
        </w:rPr>
        <w:t xml:space="preserve">. </w:t>
      </w:r>
    </w:p>
  </w:footnote>
  <w:footnote w:id="131">
    <w:p w14:paraId="2B0677D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132">
    <w:p w14:paraId="06364D6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133">
    <w:p w14:paraId="6E20AF57" w14:textId="0286044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and (3) Law 14/2013.</w:t>
      </w:r>
    </w:p>
  </w:footnote>
  <w:footnote w:id="134">
    <w:p w14:paraId="3B47C4C7" w14:textId="3B74150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competent authorities regarding </w:t>
      </w:r>
      <w:r w:rsidRPr="008E781C">
        <w:rPr>
          <w:b/>
          <w:szCs w:val="18"/>
        </w:rPr>
        <w:t>tax</w:t>
      </w:r>
      <w:r w:rsidRPr="008E781C">
        <w:rPr>
          <w:szCs w:val="18"/>
        </w:rPr>
        <w:t xml:space="preserve"> obligations are regulated in Law 58/2003 of 17 December adopting the General Tax Law (</w:t>
      </w:r>
      <w:r w:rsidRPr="008E781C">
        <w:rPr>
          <w:i/>
          <w:szCs w:val="18"/>
        </w:rPr>
        <w:t>Ley 58/2003, de 17 de diciembre, General Tributaria</w:t>
      </w:r>
      <w:r w:rsidRPr="008E781C">
        <w:rPr>
          <w:szCs w:val="18"/>
        </w:rPr>
        <w:t xml:space="preserve">), Official Gazette 302/2003, BOE-A-2003-23186, available at </w:t>
      </w:r>
      <w:hyperlink r:id="rId32" w:history="1">
        <w:r w:rsidRPr="008E781C">
          <w:rPr>
            <w:rStyle w:val="Hyperlink"/>
            <w:szCs w:val="18"/>
          </w:rPr>
          <w:t>https://boe.es/buscar/act.php?id=BOE-A-2003-23186</w:t>
        </w:r>
      </w:hyperlink>
      <w:r w:rsidRPr="008E781C">
        <w:rPr>
          <w:szCs w:val="18"/>
        </w:rPr>
        <w:t xml:space="preserve"> (last amended in November 2017). Under Article 4 of Law 58/2003 both the Central Government (</w:t>
      </w:r>
      <w:r w:rsidRPr="008E781C">
        <w:rPr>
          <w:i/>
          <w:szCs w:val="18"/>
        </w:rPr>
        <w:t>Estado</w:t>
      </w:r>
      <w:r w:rsidRPr="008E781C">
        <w:rPr>
          <w:szCs w:val="18"/>
        </w:rPr>
        <w:t>) and the Autonomous Communities (</w:t>
      </w:r>
      <w:r w:rsidRPr="008E781C">
        <w:rPr>
          <w:i/>
          <w:szCs w:val="18"/>
        </w:rPr>
        <w:t>Comunidades Autónomas</w:t>
      </w:r>
      <w:r w:rsidRPr="008E781C">
        <w:rPr>
          <w:szCs w:val="18"/>
        </w:rPr>
        <w:t>) and Local Entities (</w:t>
      </w:r>
      <w:r w:rsidRPr="008E781C">
        <w:rPr>
          <w:i/>
          <w:szCs w:val="18"/>
        </w:rPr>
        <w:t>Entidades Locales</w:t>
      </w:r>
      <w:r w:rsidRPr="008E781C">
        <w:rPr>
          <w:szCs w:val="18"/>
        </w:rPr>
        <w:t>) have competences in tax matters. Article 5 Law 58/2003 sets the specific competent authorities: at State level, the competent authority is the Ministry of Finance (</w:t>
      </w:r>
      <w:r w:rsidRPr="008E781C">
        <w:rPr>
          <w:i/>
          <w:szCs w:val="18"/>
        </w:rPr>
        <w:t>Ministerio de Economía y Hacienda</w:t>
      </w:r>
      <w:r w:rsidRPr="008E781C">
        <w:rPr>
          <w:szCs w:val="18"/>
        </w:rPr>
        <w:t>) and, specifically, to the State Agency on Tax Administration (</w:t>
      </w:r>
      <w:r w:rsidRPr="008E781C">
        <w:rPr>
          <w:i/>
          <w:szCs w:val="18"/>
        </w:rPr>
        <w:t>Agencia Estatal de Administración Tributaria</w:t>
      </w:r>
      <w:r w:rsidRPr="008E781C">
        <w:rPr>
          <w:szCs w:val="18"/>
        </w:rPr>
        <w:t>); at the level of the Autonomous Communities and Local Entities, there are specific departments in their regional governments for tax purposes. The names of these departments vary among the Autonomous Communities and Local Entities but they are generally named “Finance Office” (</w:t>
      </w:r>
      <w:r w:rsidRPr="008E781C">
        <w:rPr>
          <w:i/>
          <w:szCs w:val="18"/>
        </w:rPr>
        <w:t>Consejería de Hacienda</w:t>
      </w:r>
      <w:r w:rsidRPr="008E781C">
        <w:rPr>
          <w:szCs w:val="18"/>
        </w:rPr>
        <w:t xml:space="preserve">).  </w:t>
      </w:r>
    </w:p>
  </w:footnote>
  <w:footnote w:id="135">
    <w:p w14:paraId="437A456D" w14:textId="7AD60BE7" w:rsidR="008E781C" w:rsidRPr="008E781C" w:rsidRDefault="008E781C" w:rsidP="008E781C">
      <w:pPr>
        <w:pStyle w:val="FootnoteText"/>
        <w:rPr>
          <w:i/>
          <w:szCs w:val="18"/>
        </w:rPr>
      </w:pPr>
      <w:r w:rsidRPr="008E781C">
        <w:rPr>
          <w:rStyle w:val="FootnoteReference"/>
          <w:szCs w:val="18"/>
        </w:rPr>
        <w:footnoteRef/>
      </w:r>
      <w:r w:rsidRPr="008E781C">
        <w:rPr>
          <w:szCs w:val="18"/>
        </w:rPr>
        <w:t xml:space="preserve"> The competent authorities regarding </w:t>
      </w:r>
      <w:r w:rsidRPr="008E781C">
        <w:rPr>
          <w:b/>
          <w:szCs w:val="18"/>
        </w:rPr>
        <w:t>Social Security</w:t>
      </w:r>
      <w:r w:rsidRPr="008E781C">
        <w:rPr>
          <w:szCs w:val="18"/>
        </w:rPr>
        <w:t xml:space="preserve"> obligations are regulated in in Royal Decree Legislative 8/2015, of 30 October, adopting the recast text of the General Law on Social Security (</w:t>
      </w:r>
      <w:r w:rsidRPr="008E781C">
        <w:rPr>
          <w:i/>
          <w:szCs w:val="18"/>
        </w:rPr>
        <w:t>Real Decreto Legislativo 8/2015, de 30 de octubre, por el que se aprueba el texto refundido de la Ley General de la Seguridad Social</w:t>
      </w:r>
      <w:r w:rsidRPr="008E781C">
        <w:rPr>
          <w:szCs w:val="18"/>
        </w:rPr>
        <w:t xml:space="preserve">), Official Gazette 261/2015, BOE-A-2015-11724, available at </w:t>
      </w:r>
      <w:hyperlink r:id="rId33" w:history="1">
        <w:r w:rsidRPr="008E781C">
          <w:rPr>
            <w:rStyle w:val="Hyperlink"/>
            <w:szCs w:val="18"/>
          </w:rPr>
          <w:t>https://www.boe.es/buscar/act.php?id=BOE-A-2015-11724</w:t>
        </w:r>
      </w:hyperlink>
      <w:r w:rsidRPr="008E781C">
        <w:rPr>
          <w:szCs w:val="18"/>
        </w:rPr>
        <w:t>. Within the MESS, the State Secretariat on Social Security (</w:t>
      </w:r>
      <w:r w:rsidRPr="008E781C">
        <w:rPr>
          <w:i/>
          <w:szCs w:val="18"/>
        </w:rPr>
        <w:t>Secretaría de Estado de la Seguridad Social</w:t>
      </w:r>
      <w:r w:rsidRPr="008E781C">
        <w:rPr>
          <w:szCs w:val="18"/>
        </w:rPr>
        <w:t>) is competent to ensure the fulfilment of the Social Security obligations and the Social Security and Employment Inspectorate (</w:t>
      </w:r>
      <w:r w:rsidRPr="008E781C">
        <w:rPr>
          <w:i/>
          <w:szCs w:val="18"/>
        </w:rPr>
        <w:t>Inspección de Trabajo y Seguridad Social</w:t>
      </w:r>
      <w:r w:rsidRPr="008E781C">
        <w:rPr>
          <w:szCs w:val="18"/>
        </w:rPr>
        <w:t>) plays an essential role in it.</w:t>
      </w:r>
    </w:p>
  </w:footnote>
  <w:footnote w:id="136">
    <w:p w14:paraId="03834E59" w14:textId="253A8C4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Spanish Anti-money Laundering Law (10/2010) sets the entities that have to carry out the checks established in the law (Article 2) and provides that the competent authority to verify that such obligations are met. This authority is the Commission on the Prevention of Money Laundering and Monetary Infringements (</w:t>
      </w:r>
      <w:r w:rsidRPr="008E781C">
        <w:rPr>
          <w:i/>
          <w:szCs w:val="18"/>
        </w:rPr>
        <w:t>Comisión de Prevención del Blanqueo de Capitales e Infracciones</w:t>
      </w:r>
      <w:r w:rsidRPr="008E781C">
        <w:rPr>
          <w:szCs w:val="18"/>
        </w:rPr>
        <w:t xml:space="preserve">) (Article 44(2) Law 10/2010). </w:t>
      </w:r>
    </w:p>
  </w:footnote>
  <w:footnote w:id="137">
    <w:p w14:paraId="100010C6" w14:textId="3BAFAA5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Eleventh Final Provision Law 14/2013.</w:t>
      </w:r>
    </w:p>
  </w:footnote>
  <w:footnote w:id="138">
    <w:p w14:paraId="3C04D2E9" w14:textId="0AD70C1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Eleventh Final Provision Law 14/2013</w:t>
      </w:r>
    </w:p>
  </w:footnote>
  <w:footnote w:id="139">
    <w:p w14:paraId="50DDBAB1" w14:textId="48EECD8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‘Report on the implementation on the Section on International Mobility of Law 14/2013 of 27 September on the support to entrepreneurs and their internationalisation’ (</w:t>
      </w:r>
      <w:r w:rsidRPr="008E781C">
        <w:rPr>
          <w:i/>
          <w:szCs w:val="18"/>
        </w:rPr>
        <w:t>Informe sobre la aplicación de la Sección de Movilidad Internacional de la Ley 14/2013, de 27 de septiembre, de apoyo a los emprendedores y su internacionalización</w:t>
      </w:r>
      <w:r w:rsidRPr="008E781C">
        <w:rPr>
          <w:szCs w:val="18"/>
        </w:rPr>
        <w:t xml:space="preserve">), April 2015, available at </w:t>
      </w:r>
      <w:hyperlink r:id="rId34" w:history="1">
        <w:r w:rsidRPr="008E781C">
          <w:rPr>
            <w:rStyle w:val="Hyperlink"/>
            <w:szCs w:val="18"/>
          </w:rPr>
          <w:t>http://extranjeros.empleo.gob.es/es/UnidadGrandesEmpresas/ley14_2013/documentacion/Informe_anual_de_la_Seccion_de_Movilidad_de_la_ley_14_2013.pdf</w:t>
        </w:r>
      </w:hyperlink>
      <w:r w:rsidRPr="008E781C">
        <w:rPr>
          <w:szCs w:val="18"/>
        </w:rPr>
        <w:t xml:space="preserve"> (2015 MESS Report).</w:t>
      </w:r>
    </w:p>
  </w:footnote>
  <w:footnote w:id="140">
    <w:p w14:paraId="241D38CD" w14:textId="057D7CC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Organic Law 15/1999 of 13 December on the Protection of Personal Data (</w:t>
      </w:r>
      <w:r w:rsidRPr="008E781C">
        <w:rPr>
          <w:i/>
          <w:szCs w:val="18"/>
        </w:rPr>
        <w:t>Ley Orgánica 15/1999, de 13 de diciembre, de Protección de Datos de Carácter Personal</w:t>
      </w:r>
      <w:r w:rsidRPr="008E781C">
        <w:rPr>
          <w:szCs w:val="18"/>
        </w:rPr>
        <w:t xml:space="preserve">), Official Gazette 298/1999, BOE-A-1999-23750, available at </w:t>
      </w:r>
      <w:hyperlink r:id="rId35" w:history="1">
        <w:r w:rsidRPr="008E781C">
          <w:rPr>
            <w:rStyle w:val="Hyperlink"/>
            <w:szCs w:val="18"/>
          </w:rPr>
          <w:t>https://www.boe.es/buscar/act.php?id=BOE-A-1999-23750</w:t>
        </w:r>
      </w:hyperlink>
      <w:r w:rsidRPr="008E781C">
        <w:rPr>
          <w:szCs w:val="18"/>
        </w:rPr>
        <w:t xml:space="preserve"> (LOPD).</w:t>
      </w:r>
    </w:p>
  </w:footnote>
  <w:footnote w:id="141">
    <w:p w14:paraId="4A16483B" w14:textId="3A289B3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Law 19/2013 of 9 December on transparency, access to public information and good governance (</w:t>
      </w:r>
      <w:r w:rsidRPr="008E781C">
        <w:rPr>
          <w:i/>
          <w:szCs w:val="18"/>
        </w:rPr>
        <w:t>Ley 19/2013, de 9 de diciembre, de transparencia, acceso a la información pública y buen gobierno</w:t>
      </w:r>
      <w:r w:rsidRPr="008E781C">
        <w:rPr>
          <w:szCs w:val="18"/>
        </w:rPr>
        <w:t xml:space="preserve">), Official Gazette No. 295/2013, BOE-A-2013-12887, available at </w:t>
      </w:r>
      <w:hyperlink r:id="rId36" w:history="1">
        <w:r w:rsidRPr="008E781C">
          <w:rPr>
            <w:rStyle w:val="Hyperlink"/>
            <w:szCs w:val="18"/>
          </w:rPr>
          <w:t>https://www.boe.es/buscar/act.php?id=BOE-A-2013-12887</w:t>
        </w:r>
      </w:hyperlink>
      <w:r w:rsidRPr="008E781C">
        <w:rPr>
          <w:szCs w:val="18"/>
        </w:rPr>
        <w:t xml:space="preserve"> (Law 19/2013).  </w:t>
      </w:r>
    </w:p>
  </w:footnote>
  <w:footnote w:id="142">
    <w:p w14:paraId="4BE22CC2" w14:textId="7B449CA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14 and 15 Law 19/2013.</w:t>
      </w:r>
    </w:p>
  </w:footnote>
  <w:footnote w:id="143">
    <w:p w14:paraId="58C4744C" w14:textId="39FD5FD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2015 MESS Report. </w:t>
      </w:r>
    </w:p>
  </w:footnote>
  <w:footnote w:id="144">
    <w:p w14:paraId="0B9920B0" w14:textId="76D5C6C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2015 MESS Report.</w:t>
      </w:r>
    </w:p>
  </w:footnote>
  <w:footnote w:id="145">
    <w:p w14:paraId="6E227108"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País, ‘Russian and Chinese citizens monopolise the visas granted for real estate investments’ (</w:t>
      </w:r>
      <w:r w:rsidRPr="008E781C">
        <w:rPr>
          <w:i/>
          <w:szCs w:val="18"/>
        </w:rPr>
        <w:t>Rusos y chinos acaparan los visados por compra de casas</w:t>
      </w:r>
      <w:r w:rsidRPr="008E781C">
        <w:rPr>
          <w:szCs w:val="18"/>
        </w:rPr>
        <w:t xml:space="preserve">), May 2018, available at https://cincodias.elpais.com/cincodias/2018/05/04/midinero/1525450395_341550.html. </w:t>
      </w:r>
    </w:p>
  </w:footnote>
  <w:footnote w:id="146">
    <w:p w14:paraId="3A572E0D"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 of the General Secretariat on Migration, competent authority, 21 June 2018).</w:t>
      </w:r>
    </w:p>
  </w:footnote>
  <w:footnote w:id="147">
    <w:p w14:paraId="3D8E832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‘Immigration Portal. Statistics’ (</w:t>
      </w:r>
      <w:r w:rsidRPr="008E781C">
        <w:rPr>
          <w:i/>
          <w:szCs w:val="18"/>
        </w:rPr>
        <w:t>Portal de Inmigración. Estadísticas</w:t>
      </w:r>
      <w:r w:rsidRPr="008E781C">
        <w:rPr>
          <w:szCs w:val="18"/>
        </w:rPr>
        <w:t xml:space="preserve">), available at </w:t>
      </w:r>
      <w:hyperlink r:id="rId37" w:history="1">
        <w:r w:rsidRPr="008E781C">
          <w:rPr>
            <w:rStyle w:val="Hyperlink"/>
            <w:szCs w:val="18"/>
          </w:rPr>
          <w:t>http://extranjeros.empleo.gob.es/es/Estadisticas/index.html</w:t>
        </w:r>
      </w:hyperlink>
      <w:r w:rsidRPr="008E781C">
        <w:rPr>
          <w:szCs w:val="18"/>
        </w:rPr>
        <w:t xml:space="preserve">. </w:t>
      </w:r>
    </w:p>
  </w:footnote>
  <w:footnote w:id="148">
    <w:p w14:paraId="5B9D092E" w14:textId="18E9C0B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62(4) Law 14/2013 refers to the family members of all individuals regulated by the section on international mobility of Law 14/2013 (investors, entrepreneurs, highly qualified professionals, researchers and intra-corporate transfers). For the purposes of this Report, only the family members of foreign investors are referred to.</w:t>
      </w:r>
    </w:p>
  </w:footnote>
  <w:footnote w:id="149">
    <w:p w14:paraId="508F770E" w14:textId="224EABB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53(b) RELOEX. In order to prove a similar relation to marriage public documents take prevalence to other kind of documents; however, any means of evidence to prove the existence of such relationship are admissible. </w:t>
      </w:r>
    </w:p>
  </w:footnote>
  <w:footnote w:id="150">
    <w:p w14:paraId="08A2B064" w14:textId="57D4622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‘Dependent’ in this context means individuals who economically depend of the investor. MESS, Informative brochure, ‘Family reunification of foreigners in Spain’ (</w:t>
      </w:r>
      <w:r w:rsidRPr="008E781C">
        <w:rPr>
          <w:i/>
          <w:szCs w:val="18"/>
        </w:rPr>
        <w:t>La reunificación familiar de los extranjeros en España</w:t>
      </w:r>
      <w:r w:rsidRPr="008E781C">
        <w:rPr>
          <w:szCs w:val="18"/>
        </w:rPr>
        <w:t xml:space="preserve">), available at </w:t>
      </w:r>
      <w:hyperlink r:id="rId38" w:history="1">
        <w:r w:rsidRPr="008E781C">
          <w:rPr>
            <w:rStyle w:val="Hyperlink"/>
            <w:szCs w:val="18"/>
          </w:rPr>
          <w:t>http://extranjeros.empleo.gob.es/es/InformacionInteres/FolletosInformativos/archivos/triptico_reagrupacion_familiar.pdf</w:t>
        </w:r>
      </w:hyperlink>
      <w:r w:rsidRPr="008E781C">
        <w:rPr>
          <w:szCs w:val="18"/>
        </w:rPr>
        <w:t xml:space="preserve">. </w:t>
      </w:r>
    </w:p>
  </w:footnote>
  <w:footnote w:id="151">
    <w:p w14:paraId="6F42E61D" w14:textId="0271DF5B"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62(4) Law 14/2013.</w:t>
      </w:r>
    </w:p>
  </w:footnote>
  <w:footnote w:id="152">
    <w:p w14:paraId="7482DF3E" w14:textId="76F658A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Ministry of Foreign Affairs has issued an informative note on Law 14/2013 which is available in the Spanish Embassies’ websites; for example, website of the Spanish Embassy in Cape Town, available at </w:t>
      </w:r>
      <w:hyperlink r:id="rId39" w:history="1">
        <w:r w:rsidRPr="008E781C">
          <w:rPr>
            <w:rStyle w:val="Hyperlink"/>
            <w:szCs w:val="18"/>
          </w:rPr>
          <w:t>http://www.exteriores.gob.es/Consulados/CIUDADDELCABO/es/ServiciosConsulares/ServiciosConsularesCiudaddelCabo/Documents/Visados/Visado nacional inversores capital 30 octubre 2017.pdf</w:t>
        </w:r>
      </w:hyperlink>
      <w:r w:rsidRPr="008E781C">
        <w:rPr>
          <w:szCs w:val="18"/>
        </w:rPr>
        <w:t xml:space="preserve">.   </w:t>
      </w:r>
    </w:p>
  </w:footnote>
  <w:footnote w:id="153">
    <w:p w14:paraId="3979C326"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12(1) RELOEX.</w:t>
      </w:r>
    </w:p>
  </w:footnote>
  <w:footnote w:id="154">
    <w:p w14:paraId="72079337"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12(2) RELOEX.</w:t>
      </w:r>
    </w:p>
  </w:footnote>
  <w:footnote w:id="155">
    <w:p w14:paraId="11B8A594" w14:textId="6CCC3D7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Fourth Additional Provision Law 14/2013.</w:t>
      </w:r>
    </w:p>
  </w:footnote>
  <w:footnote w:id="156">
    <w:p w14:paraId="23DD0D6D" w14:textId="4E14EEF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62(4) Law 14/2013.</w:t>
      </w:r>
    </w:p>
  </w:footnote>
  <w:footnote w:id="157">
    <w:p w14:paraId="7B2E59A9" w14:textId="66B7A45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2015 MESS Report.</w:t>
      </w:r>
    </w:p>
  </w:footnote>
  <w:footnote w:id="158">
    <w:p w14:paraId="5E7FF666" w14:textId="7460C43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For the purposes of this Table, the term ‘investment’ covers any pecuniary disbursement required as part of the process for obtaining residence under the investors’ residence scheme.</w:t>
      </w:r>
    </w:p>
  </w:footnote>
  <w:footnote w:id="159">
    <w:p w14:paraId="76627C9E" w14:textId="6E6797F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63(2) Law 14/2013</w:t>
      </w:r>
    </w:p>
  </w:footnote>
  <w:footnote w:id="160">
    <w:p w14:paraId="0214AC12" w14:textId="364CFCA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63(2) and 64 Law 14/2013.</w:t>
      </w:r>
    </w:p>
  </w:footnote>
  <w:footnote w:id="161">
    <w:p w14:paraId="2D11D255" w14:textId="6A31DB9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and (3) Law 14/2013.</w:t>
      </w:r>
    </w:p>
  </w:footnote>
  <w:footnote w:id="162">
    <w:p w14:paraId="59A23D7E" w14:textId="0386761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75(1) Law 14/2013.</w:t>
      </w:r>
    </w:p>
  </w:footnote>
  <w:footnote w:id="163">
    <w:p w14:paraId="2F24039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This Office is part of the consulate or diplomatic mission competent to receive, examine and issue the corresponding visa.</w:t>
      </w:r>
    </w:p>
  </w:footnote>
  <w:footnote w:id="164">
    <w:p w14:paraId="45235D0E" w14:textId="0568D51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64(d) Law 14/2013.</w:t>
      </w:r>
    </w:p>
  </w:footnote>
  <w:footnote w:id="165">
    <w:p w14:paraId="4566874A" w14:textId="74FA4C4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66(2)(d) and (3) Law 14/2013.</w:t>
      </w:r>
    </w:p>
  </w:footnote>
  <w:footnote w:id="166">
    <w:p w14:paraId="5AF43BE8" w14:textId="1CB1514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w:t>
      </w:r>
    </w:p>
  </w:footnote>
  <w:footnote w:id="167">
    <w:p w14:paraId="4D17B225" w14:textId="1DFCC20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Law 14/2013.</w:t>
      </w:r>
    </w:p>
  </w:footnote>
  <w:footnote w:id="168">
    <w:p w14:paraId="758354C5" w14:textId="6A7088C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Real Ferrer, G., ‘[The principle of] Solidarity in administrative law’ (</w:t>
      </w:r>
      <w:r w:rsidRPr="008E781C">
        <w:rPr>
          <w:i/>
          <w:szCs w:val="18"/>
        </w:rPr>
        <w:t>La solidaridad en el Derecho Administrativo</w:t>
      </w:r>
      <w:r w:rsidRPr="008E781C">
        <w:rPr>
          <w:szCs w:val="18"/>
        </w:rPr>
        <w:t xml:space="preserve">, available at </w:t>
      </w:r>
      <w:hyperlink r:id="rId40" w:history="1">
        <w:r w:rsidRPr="008E781C">
          <w:rPr>
            <w:rStyle w:val="Hyperlink"/>
            <w:szCs w:val="18"/>
          </w:rPr>
          <w:t>https://dialnet.unirioja.es/descarga/articulo/721284.pdf</w:t>
        </w:r>
      </w:hyperlink>
      <w:r w:rsidRPr="008E781C">
        <w:rPr>
          <w:szCs w:val="18"/>
        </w:rPr>
        <w:t xml:space="preserve">. </w:t>
      </w:r>
    </w:p>
  </w:footnote>
  <w:footnote w:id="169">
    <w:p w14:paraId="7B82B4E3" w14:textId="7AED21C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64(a) Law 14/2013.</w:t>
      </w:r>
    </w:p>
  </w:footnote>
  <w:footnote w:id="170">
    <w:p w14:paraId="67BD817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171">
    <w:p w14:paraId="65F1700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 Law 14/2013.</w:t>
      </w:r>
    </w:p>
  </w:footnote>
  <w:footnote w:id="172">
    <w:p w14:paraId="325B76E3" w14:textId="7637008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64(a) Law 14/2013.</w:t>
      </w:r>
    </w:p>
  </w:footnote>
  <w:footnote w:id="173">
    <w:p w14:paraId="050D3DBC" w14:textId="75B1FBF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 Law 14/2013.</w:t>
      </w:r>
    </w:p>
  </w:footnote>
  <w:footnote w:id="174">
    <w:p w14:paraId="4D83BB71" w14:textId="0306FE1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66(2)(a)(1) to (4) Law 14/2013.</w:t>
      </w:r>
    </w:p>
  </w:footnote>
  <w:footnote w:id="175">
    <w:p w14:paraId="657A388C" w14:textId="77777777" w:rsidR="008E781C" w:rsidRPr="008E781C" w:rsidRDefault="008E781C" w:rsidP="008E781C">
      <w:pPr>
        <w:pStyle w:val="FootnoteText"/>
        <w:rPr>
          <w:szCs w:val="18"/>
          <w:u w:val="single"/>
        </w:rPr>
      </w:pPr>
      <w:r w:rsidRPr="008E781C">
        <w:rPr>
          <w:rStyle w:val="FootnoteReference"/>
          <w:szCs w:val="18"/>
        </w:rPr>
        <w:footnoteRef/>
      </w:r>
      <w:r w:rsidRPr="008E781C">
        <w:rPr>
          <w:szCs w:val="18"/>
        </w:rPr>
        <w:t xml:space="preserve"> It should be noted that the Spanish commercial legislation uses different terms for the shares of limited liability companies (</w:t>
      </w:r>
      <w:r w:rsidRPr="008E781C">
        <w:rPr>
          <w:i/>
          <w:szCs w:val="18"/>
        </w:rPr>
        <w:t>sociedades de responsabilidad limitada</w:t>
      </w:r>
      <w:r w:rsidRPr="008E781C">
        <w:rPr>
          <w:szCs w:val="18"/>
        </w:rPr>
        <w:t>) and the shares of public limited companies (</w:t>
      </w:r>
      <w:r w:rsidRPr="008E781C">
        <w:rPr>
          <w:i/>
          <w:szCs w:val="18"/>
        </w:rPr>
        <w:t>sociedaddes anónonimas</w:t>
      </w:r>
      <w:r w:rsidRPr="008E781C">
        <w:rPr>
          <w:szCs w:val="18"/>
        </w:rPr>
        <w:t xml:space="preserve">): while the former are called </w:t>
      </w:r>
      <w:r w:rsidRPr="008E781C">
        <w:rPr>
          <w:i/>
          <w:szCs w:val="18"/>
        </w:rPr>
        <w:t>participaciones (sociales)</w:t>
      </w:r>
      <w:r w:rsidRPr="008E781C">
        <w:rPr>
          <w:szCs w:val="18"/>
        </w:rPr>
        <w:t xml:space="preserve">, the former are called </w:t>
      </w:r>
      <w:r w:rsidRPr="008E781C">
        <w:rPr>
          <w:i/>
          <w:szCs w:val="18"/>
        </w:rPr>
        <w:t>acciones</w:t>
      </w:r>
      <w:r w:rsidRPr="008E781C">
        <w:rPr>
          <w:szCs w:val="18"/>
        </w:rPr>
        <w:t xml:space="preserve">. These terms only translate into English under the generic term “shares”. For the purposes of this Report, </w:t>
      </w:r>
      <w:r w:rsidRPr="008E781C">
        <w:rPr>
          <w:i/>
          <w:szCs w:val="18"/>
        </w:rPr>
        <w:t xml:space="preserve">participaciones </w:t>
      </w:r>
      <w:r w:rsidRPr="008E781C">
        <w:rPr>
          <w:szCs w:val="18"/>
        </w:rPr>
        <w:t xml:space="preserve">are called ‘company shares’ and </w:t>
      </w:r>
      <w:r w:rsidRPr="008E781C">
        <w:rPr>
          <w:i/>
          <w:szCs w:val="18"/>
        </w:rPr>
        <w:t xml:space="preserve">acciones </w:t>
      </w:r>
      <w:r w:rsidRPr="008E781C">
        <w:rPr>
          <w:szCs w:val="18"/>
        </w:rPr>
        <w:t>are simply called ‘shares. Article 90 of the Royal Legislative Decree 1/2010 of 2 July “approving</w:t>
      </w:r>
      <w:r w:rsidRPr="008E781C">
        <w:rPr>
          <w:szCs w:val="18"/>
          <w:u w:val="single"/>
        </w:rPr>
        <w:t xml:space="preserve"> </w:t>
      </w:r>
      <w:r w:rsidRPr="008E781C">
        <w:rPr>
          <w:szCs w:val="18"/>
        </w:rPr>
        <w:t>the recast Joint-stock Companies Law” (</w:t>
      </w:r>
      <w:r w:rsidRPr="008E781C">
        <w:rPr>
          <w:i/>
          <w:szCs w:val="18"/>
        </w:rPr>
        <w:t>Real Decreto Legislativo 1/2010, de 2 de julio, por el que se aprueba el texto refundido de la Ley de Sociedades de Capital</w:t>
      </w:r>
      <w:r w:rsidRPr="008E781C">
        <w:rPr>
          <w:szCs w:val="18"/>
        </w:rPr>
        <w:t>) State Gazette 161/2010, BOE-A-2010-10544available at</w:t>
      </w:r>
      <w:r w:rsidRPr="008E781C">
        <w:rPr>
          <w:szCs w:val="18"/>
          <w:u w:val="single"/>
        </w:rPr>
        <w:t xml:space="preserve"> </w:t>
      </w:r>
      <w:hyperlink r:id="rId41" w:history="1">
        <w:r w:rsidRPr="008E781C">
          <w:rPr>
            <w:rStyle w:val="Hyperlink"/>
            <w:szCs w:val="18"/>
          </w:rPr>
          <w:t>https://www.boe.es/buscar/act.php?id=BOE-A-2010-10544</w:t>
        </w:r>
      </w:hyperlink>
      <w:r w:rsidRPr="008E781C">
        <w:rPr>
          <w:szCs w:val="18"/>
          <w:u w:val="single"/>
        </w:rPr>
        <w:t xml:space="preserve">.  </w:t>
      </w:r>
    </w:p>
  </w:footnote>
  <w:footnote w:id="176">
    <w:p w14:paraId="34CB096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For such purposes, the Ministry of Economy and Competitiveness has approved standardised by Annex I to Decision of 27 of July of 2016 (</w:t>
      </w:r>
      <w:r w:rsidRPr="008E781C">
        <w:rPr>
          <w:i/>
          <w:szCs w:val="18"/>
        </w:rPr>
        <w:t>Resolución de 27 de julio de 2016, de la Dirección General de Comercio Internacional e Inversiones, por la que se aprueban los modelos de declaración de inversiones exteriores cuando el obligado a declarar es inversor o empresa con participación extranjera y que sustituye a las anteriores Resoluciones en esta materia</w:t>
      </w:r>
      <w:r w:rsidRPr="008E781C">
        <w:rPr>
          <w:szCs w:val="18"/>
        </w:rPr>
        <w:t xml:space="preserve">), State Gazette 194/2016, BOE-A-2016-7855, available at </w:t>
      </w:r>
      <w:hyperlink r:id="rId42" w:history="1">
        <w:r w:rsidRPr="008E781C">
          <w:rPr>
            <w:rStyle w:val="Hyperlink"/>
            <w:szCs w:val="18"/>
          </w:rPr>
          <w:t>https://boe.es/diario_boe/txt.php?id=BOE-A-2016-7855</w:t>
        </w:r>
      </w:hyperlink>
      <w:r w:rsidRPr="008E781C">
        <w:rPr>
          <w:szCs w:val="18"/>
        </w:rPr>
        <w:t xml:space="preserve">. </w:t>
      </w:r>
    </w:p>
  </w:footnote>
  <w:footnote w:id="177">
    <w:p w14:paraId="4086B43B" w14:textId="423A28F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66(2)(a)(1) Law 14/2013.</w:t>
      </w:r>
    </w:p>
  </w:footnote>
  <w:footnote w:id="178">
    <w:p w14:paraId="0EEADE7E" w14:textId="35D98BF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66(2)(a)(2) Law 14/2013.</w:t>
      </w:r>
    </w:p>
  </w:footnote>
  <w:footnote w:id="179">
    <w:p w14:paraId="23EEEB58" w14:textId="6439FA4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66(2)(a)(3) Law 14/2013.</w:t>
      </w:r>
    </w:p>
  </w:footnote>
  <w:footnote w:id="180">
    <w:p w14:paraId="50DD2F66" w14:textId="08DEBD6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66(2)(a)(4) Law 14/2013.</w:t>
      </w:r>
    </w:p>
  </w:footnote>
  <w:footnote w:id="181">
    <w:p w14:paraId="15C37B71" w14:textId="09B07BF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66(2)(a)(5) Law 14/2013.</w:t>
      </w:r>
    </w:p>
  </w:footnote>
  <w:footnote w:id="182">
    <w:p w14:paraId="698FA532" w14:textId="756BCDA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reference to ‘per applicant’ in the Spanish legislation is due to the fact that the acquisition might be carried out by a married couple. Specifically, Article 63(4) Law 14/2013 provides that when the investments in, inter alia, real estate are carried out by a married couple who has a common property regime or an analogous regime (i.e. a regime in which all goods belong to the couple and are not distinguished per member of the couple) and the amount of the investment does not amount at least to double of the thresholds therein set, it shall be deemed that the investment has been carried out by only one of the members of the couple. The other spouse may, instead of applying for an investors’ residence visa, may apply for a family member visa as explained in Section II.1.5 of this Report.</w:t>
      </w:r>
    </w:p>
  </w:footnote>
  <w:footnote w:id="183">
    <w:p w14:paraId="563C9807" w14:textId="4E38A7D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64(b) Law 14/2013.</w:t>
      </w:r>
    </w:p>
  </w:footnote>
  <w:footnote w:id="184">
    <w:p w14:paraId="1A5DF194" w14:textId="17DE45B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66(2)(b) Law 14/2013.</w:t>
      </w:r>
    </w:p>
  </w:footnote>
  <w:footnote w:id="185">
    <w:p w14:paraId="18C8EA72" w14:textId="3C849F6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64(c) Law 14/2013.</w:t>
      </w:r>
    </w:p>
  </w:footnote>
  <w:footnote w:id="186">
    <w:p w14:paraId="02BF5E4B" w14:textId="355AE59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66(2)(c) and (3) Law 14/2013.</w:t>
      </w:r>
    </w:p>
  </w:footnote>
  <w:footnote w:id="187">
    <w:p w14:paraId="6EBA92E0" w14:textId="69E09EC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66(2)(c) Law 14/2013.</w:t>
      </w:r>
    </w:p>
  </w:footnote>
  <w:footnote w:id="188">
    <w:p w14:paraId="36FA960E" w14:textId="52341D8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189">
    <w:p w14:paraId="476E7FA3" w14:textId="36087DE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64(c) Law 14/2013.</w:t>
      </w:r>
    </w:p>
  </w:footnote>
  <w:footnote w:id="190">
    <w:p w14:paraId="33A19255" w14:textId="6A37DFD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w:t>
      </w:r>
    </w:p>
  </w:footnote>
  <w:footnote w:id="191">
    <w:p w14:paraId="0D058122" w14:textId="3FC8681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64(b) Law 14/2013.</w:t>
      </w:r>
    </w:p>
  </w:footnote>
  <w:footnote w:id="192">
    <w:p w14:paraId="6D0EEE6B"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14(1)(b) Regulation 810/2009.</w:t>
      </w:r>
    </w:p>
  </w:footnote>
  <w:footnote w:id="193">
    <w:p w14:paraId="307DBD5B" w14:textId="50430D5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75(1) Law 14/2013.</w:t>
      </w:r>
    </w:p>
  </w:footnote>
  <w:footnote w:id="194">
    <w:p w14:paraId="7905B626" w14:textId="72CB449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21(8) Regulation 810/2009.</w:t>
      </w:r>
    </w:p>
  </w:footnote>
  <w:footnote w:id="195">
    <w:p w14:paraId="45EF8C10" w14:textId="2D1AF11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(representatives of Consulate of Spain in Los Angeles and General Secretariat on Migration, competent authorities, 20 and 21 June 2018, respectively).</w:t>
      </w:r>
    </w:p>
  </w:footnote>
  <w:footnote w:id="196">
    <w:p w14:paraId="1088D9F8" w14:textId="2A17964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(1) Law 14/2013.</w:t>
      </w:r>
    </w:p>
  </w:footnote>
  <w:footnote w:id="197">
    <w:p w14:paraId="689C8638" w14:textId="6392501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(2) Law 14/2013.</w:t>
      </w:r>
    </w:p>
  </w:footnote>
  <w:footnote w:id="198">
    <w:p w14:paraId="11EF63DC" w14:textId="1A1A329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199">
    <w:p w14:paraId="22119FD4" w14:textId="1D9BC3E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(4) Law 14/2013.</w:t>
      </w:r>
    </w:p>
  </w:footnote>
  <w:footnote w:id="200">
    <w:p w14:paraId="0BEF0958" w14:textId="0A19986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(representatives of Consulate of Spain in Los Angeles and General Secretariat on Migration, competent authorities, 20 June and 21 June 2018, respectively).</w:t>
      </w:r>
    </w:p>
  </w:footnote>
  <w:footnote w:id="201">
    <w:p w14:paraId="0EB02813" w14:textId="65404F6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75(1) Law 14/2013.</w:t>
      </w:r>
    </w:p>
  </w:footnote>
  <w:footnote w:id="202">
    <w:p w14:paraId="3E4C8629" w14:textId="6B8DBC1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 Regulation 810/2009.</w:t>
      </w:r>
    </w:p>
  </w:footnote>
  <w:footnote w:id="203">
    <w:p w14:paraId="60265D2F" w14:textId="494CF7D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(representatives of Consulate of Spain in Los Angeles and General Secretariat on Migration, competent authorities, 20 June and 21 June 2018, respectively).</w:t>
      </w:r>
    </w:p>
  </w:footnote>
  <w:footnote w:id="204">
    <w:p w14:paraId="6DB679D0" w14:textId="5696AF4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Royal Decree 703/2017, developing the basic organisational structure of the Ministry of Employment and Social Security and modifying Royal Decree 424/2016, of 11 November, establishing the organisational structure of ministerial departments (</w:t>
      </w:r>
      <w:r w:rsidRPr="008E781C">
        <w:rPr>
          <w:i/>
          <w:szCs w:val="18"/>
        </w:rPr>
        <w:t>Real Decreto 703/2017, de 7 de julio, por el que se desarrolla la estructura orgánica básica del Ministerio de Empleo y Seguridad Social y se modifica el Real Decreto 424/2016, de 11 de noviembre, por el que se establece la estructura orgánica básica de los departamentos ministeriales</w:t>
      </w:r>
      <w:r w:rsidRPr="008E781C">
        <w:rPr>
          <w:szCs w:val="18"/>
        </w:rPr>
        <w:t xml:space="preserve">), State Gazette 162 of 8 July 2017, BOE-A-2017-7979, available at </w:t>
      </w:r>
      <w:hyperlink r:id="rId43" w:history="1">
        <w:r w:rsidRPr="008E781C">
          <w:rPr>
            <w:rStyle w:val="Hyperlink"/>
            <w:szCs w:val="18"/>
          </w:rPr>
          <w:t>https://www.boe.es/buscar/act.php?id=BOE-A-2017-7979</w:t>
        </w:r>
      </w:hyperlink>
      <w:r w:rsidRPr="008E781C">
        <w:rPr>
          <w:szCs w:val="18"/>
        </w:rPr>
        <w:t>. And, specifically as regards the investors’ residence in Spain, Article 66(1) Law 14/2013.</w:t>
      </w:r>
    </w:p>
  </w:footnote>
  <w:footnote w:id="205">
    <w:p w14:paraId="79469E13" w14:textId="0B70CA3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75(1) Law 14/2013. </w:t>
      </w:r>
      <w:r w:rsidRPr="008E781C">
        <w:rPr>
          <w:bCs/>
          <w:szCs w:val="18"/>
        </w:rPr>
        <w:t>The procedure for the extension of the period of validity of visas is foreseen in Article 33 of Regulation 810/2009.</w:t>
      </w:r>
    </w:p>
  </w:footnote>
  <w:footnote w:id="206">
    <w:p w14:paraId="7AFC7A07" w14:textId="75AA8D2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Proof of force majeure or humanitarian reasons preventing the applicant from leaving the territory or proof of serious personal reasons.</w:t>
      </w:r>
    </w:p>
  </w:footnote>
  <w:footnote w:id="207">
    <w:p w14:paraId="1A65B6E8" w14:textId="11B9543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Law 14/2013.</w:t>
      </w:r>
    </w:p>
  </w:footnote>
  <w:footnote w:id="208">
    <w:p w14:paraId="25E0496C" w14:textId="7111394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67(1) Law 14/2013.</w:t>
      </w:r>
    </w:p>
  </w:footnote>
  <w:footnote w:id="209">
    <w:p w14:paraId="22DED2F6" w14:textId="5A78522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210">
    <w:p w14:paraId="74137205" w14:textId="694C4D9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and (2) Law 14/2013 in relation with Article 14(1)(b) Regulation 810/2009, as the requirements of such Regulation have to be met to issue the investors’ residence visa as set by Article 75(1) Law 14/2013.</w:t>
      </w:r>
    </w:p>
  </w:footnote>
  <w:footnote w:id="211">
    <w:p w14:paraId="1AD0AC6F" w14:textId="4E2CD02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Sixth Additional Provision Law 14/2013 prescribes that for the renewal of the residence permit (whether an authorisation or a visa) the investor can leave the territory for periods of six months in a year. </w:t>
      </w:r>
      <w:r w:rsidRPr="008E781C">
        <w:rPr>
          <w:i/>
          <w:szCs w:val="18"/>
        </w:rPr>
        <w:t>Sensu contrario</w:t>
      </w:r>
      <w:r w:rsidRPr="008E781C">
        <w:rPr>
          <w:szCs w:val="18"/>
        </w:rPr>
        <w:t>, this means that the rest of the time the investor must be physically in Spain.</w:t>
      </w:r>
    </w:p>
  </w:footnote>
  <w:footnote w:id="212">
    <w:p w14:paraId="6325F617" w14:textId="722922B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64(b) Law 14/2013 sets that the investors’ residence visa will be issued only for six months when the investment consists in the purchase of real estate property and the purchase has not been formalised but a pre-contract exists.</w:t>
      </w:r>
    </w:p>
  </w:footnote>
  <w:footnote w:id="213">
    <w:p w14:paraId="2D79A355" w14:textId="75C964C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214">
    <w:p w14:paraId="3D3221B6" w14:textId="0CB0A1F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by cross-reference to Article 62 Law 14/2013.</w:t>
      </w:r>
    </w:p>
  </w:footnote>
  <w:footnote w:id="215">
    <w:p w14:paraId="4EDDC63E" w14:textId="03679BB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14(1)(b) Regulation 810/2009.</w:t>
      </w:r>
    </w:p>
  </w:footnote>
  <w:footnote w:id="216">
    <w:p w14:paraId="72BE836F" w14:textId="653BFEA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(1) Law 14/2013.</w:t>
      </w:r>
    </w:p>
  </w:footnote>
  <w:footnote w:id="217">
    <w:p w14:paraId="54C3E234" w14:textId="0526965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 sets that the investors’ residence authorisation will be issued only for six months when the investment consists in the purchase of real estate property and the purchase has not been formalised but a pre-contract exists.</w:t>
      </w:r>
    </w:p>
  </w:footnote>
  <w:footnote w:id="218">
    <w:p w14:paraId="5706472D"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219">
    <w:p w14:paraId="447E1A4E" w14:textId="618ADE1B"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(4) Law 14/2013.</w:t>
      </w:r>
    </w:p>
  </w:footnote>
  <w:footnote w:id="220">
    <w:p w14:paraId="4A5B257F"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221">
    <w:p w14:paraId="0E2B3B37" w14:textId="1721DD4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66(1) Law 14/2013.</w:t>
      </w:r>
    </w:p>
  </w:footnote>
  <w:footnote w:id="222">
    <w:p w14:paraId="25BA5D78"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76(1) Law 14/2013</w:t>
      </w:r>
    </w:p>
  </w:footnote>
  <w:footnote w:id="223">
    <w:p w14:paraId="087BB93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(1) and (2) Law 14/2013.</w:t>
      </w:r>
    </w:p>
  </w:footnote>
  <w:footnote w:id="224">
    <w:p w14:paraId="4F59138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225">
    <w:p w14:paraId="70978CD4"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website, Electronic Office of the General Directorate of Migrations, Applications on International Mobility (authorisations regulated by Law 14/2013), available at </w:t>
      </w:r>
      <w:hyperlink r:id="rId44" w:history="1">
        <w:r w:rsidRPr="008E781C">
          <w:rPr>
            <w:rStyle w:val="Hyperlink"/>
            <w:szCs w:val="18"/>
          </w:rPr>
          <w:t>https://expinterweb.empleo.gob.es/ley11/inicio/showTramites.action?procedimientoSel=200&amp;proc=5</w:t>
        </w:r>
      </w:hyperlink>
      <w:r w:rsidRPr="008E781C">
        <w:rPr>
          <w:szCs w:val="18"/>
        </w:rPr>
        <w:t xml:space="preserve">. As explained, Law 14/2013 also regulates the residence authorisations of other categories of individuals apart from foreign investors (entrepreneurs, highly qualified professionals and intra-corporate transfers). </w:t>
      </w:r>
    </w:p>
  </w:footnote>
  <w:footnote w:id="226">
    <w:p w14:paraId="2F7F9D7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76(2) Law 14/2013.</w:t>
      </w:r>
    </w:p>
  </w:footnote>
  <w:footnote w:id="227">
    <w:p w14:paraId="19586859" w14:textId="6C1D7DC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76(2) Law 14/2013. </w:t>
      </w:r>
    </w:p>
  </w:footnote>
  <w:footnote w:id="228">
    <w:p w14:paraId="6FA7D088"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67(2) in relation to Seventh Additional Provision Law 14/2013.</w:t>
      </w:r>
    </w:p>
  </w:footnote>
  <w:footnote w:id="229">
    <w:p w14:paraId="13F7E613" w14:textId="5421A62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230">
    <w:p w14:paraId="58764411" w14:textId="480CB43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 of the General Secretariat on Migration, competent authority, 21 June 2018).</w:t>
      </w:r>
    </w:p>
  </w:footnote>
  <w:footnote w:id="231">
    <w:p w14:paraId="28421356"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67(2) Law 14/2013.</w:t>
      </w:r>
    </w:p>
  </w:footnote>
  <w:footnote w:id="232">
    <w:p w14:paraId="09EC9912"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76(2) Law 14/2013.</w:t>
      </w:r>
    </w:p>
  </w:footnote>
  <w:footnote w:id="233">
    <w:p w14:paraId="54B8FE50"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Sixth Additional Provision Law 14/2013.</w:t>
      </w:r>
    </w:p>
  </w:footnote>
  <w:footnote w:id="234">
    <w:p w14:paraId="28C0A612" w14:textId="771ED7BE"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66(3) Law 14/2013.</w:t>
      </w:r>
    </w:p>
  </w:footnote>
  <w:footnote w:id="235">
    <w:p w14:paraId="44CB3051" w14:textId="4B4B6E3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gathered through consultation with national stakeholder (representative of the General Secretariat of Migration, competent authority, 21 June 2018).</w:t>
      </w:r>
    </w:p>
  </w:footnote>
  <w:footnote w:id="236">
    <w:p w14:paraId="6FD7965E" w14:textId="7BDE6BC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 Law 14/2013.</w:t>
      </w:r>
    </w:p>
  </w:footnote>
  <w:footnote w:id="237">
    <w:p w14:paraId="332BB58B"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4(1)(g) RELOEX.</w:t>
      </w:r>
    </w:p>
  </w:footnote>
  <w:footnote w:id="238">
    <w:p w14:paraId="03B99731"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 Regulation (EU) 2016/399.</w:t>
      </w:r>
    </w:p>
  </w:footnote>
  <w:footnote w:id="239">
    <w:p w14:paraId="0F426DC6"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in relation with Article 62 Law 14/2013</w:t>
      </w:r>
    </w:p>
  </w:footnote>
  <w:footnote w:id="240">
    <w:p w14:paraId="2D551F61" w14:textId="6A675FD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 third-country nationally is deemed to be illegally in Spain when their stay authorisation has not been renewed, s/he has not obtained the necessary residence authorisation or such authorisation has been expired for over three months or has not requested the renewal of such residence authorisation in the time-frame established by the RELOEX (Article 53(1)(a) LOEX).</w:t>
      </w:r>
    </w:p>
  </w:footnote>
  <w:footnote w:id="241">
    <w:p w14:paraId="7D658C83" w14:textId="4826ADE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 and 75 Law 14/2013.</w:t>
      </w:r>
    </w:p>
  </w:footnote>
  <w:footnote w:id="242">
    <w:p w14:paraId="0D762F9E" w14:textId="5F32F2B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 and 76 Law 14/2013).</w:t>
      </w:r>
    </w:p>
  </w:footnote>
  <w:footnote w:id="243">
    <w:p w14:paraId="43B7DBD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Law 14/2013</w:t>
      </w:r>
    </w:p>
  </w:footnote>
  <w:footnote w:id="244">
    <w:p w14:paraId="7F7954E4" w14:textId="710F28B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and Article 75(1) Law 14/2013.</w:t>
      </w:r>
    </w:p>
  </w:footnote>
  <w:footnote w:id="245">
    <w:p w14:paraId="310BEB27" w14:textId="1D55906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Report for DG HOME ‘Assessing the completeness and conformity of measures of Member States to transpose Council Framework Decision 2006/960/JHA (‘Swedish Initiative’)’.</w:t>
      </w:r>
    </w:p>
  </w:footnote>
  <w:footnote w:id="246">
    <w:p w14:paraId="516B7B15" w14:textId="1FE9AB6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66(2) and (3) cross-referring to Article 62 Law 14/2013.</w:t>
      </w:r>
    </w:p>
  </w:footnote>
  <w:footnote w:id="247">
    <w:p w14:paraId="2AF73547" w14:textId="6053141B"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By interpretation of Article 62(5) Law 14/2013</w:t>
      </w:r>
    </w:p>
  </w:footnote>
  <w:footnote w:id="248">
    <w:p w14:paraId="1850ED6E" w14:textId="43EC4A5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Law 14/2013.</w:t>
      </w:r>
    </w:p>
  </w:footnote>
  <w:footnote w:id="249">
    <w:p w14:paraId="64ED50F5"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32(1) Regulation 810/2009.</w:t>
      </w:r>
    </w:p>
  </w:footnote>
  <w:footnote w:id="250">
    <w:p w14:paraId="798A784C"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75(1) Law 14/2013</w:t>
      </w:r>
    </w:p>
  </w:footnote>
  <w:footnote w:id="251">
    <w:p w14:paraId="0EC91C54" w14:textId="358F878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62(6) Law 14/2013.</w:t>
      </w:r>
    </w:p>
  </w:footnote>
  <w:footnote w:id="252">
    <w:p w14:paraId="6D78F48B" w14:textId="6721029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63(1) Law 14/2013.</w:t>
      </w:r>
    </w:p>
  </w:footnote>
  <w:footnote w:id="253">
    <w:p w14:paraId="140A3648" w14:textId="1793DD8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Law 14/2013.</w:t>
      </w:r>
    </w:p>
  </w:footnote>
  <w:footnote w:id="254">
    <w:p w14:paraId="2429E1D0" w14:textId="61C1E04C"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76(2) in relation with Seventh Additional Provision Law (3) 14/2013.</w:t>
      </w:r>
    </w:p>
  </w:footnote>
  <w:footnote w:id="255">
    <w:p w14:paraId="314277FE" w14:textId="5F8A6EB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 Regulation 810/2009.</w:t>
      </w:r>
    </w:p>
  </w:footnote>
  <w:footnote w:id="256">
    <w:p w14:paraId="36D2E4C7" w14:textId="17450D6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Information confirmed through consultation with national stakeholders (Consulate of Spain in Los Angeles and representative of the General Secretariat on Migration, 20 and 21 June 2018, respectively).</w:t>
      </w:r>
    </w:p>
  </w:footnote>
  <w:footnote w:id="257">
    <w:p w14:paraId="2882F957" w14:textId="42CDC8BB"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258">
    <w:p w14:paraId="703392A6" w14:textId="644BA34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(3) Law 14/2013.</w:t>
      </w:r>
    </w:p>
  </w:footnote>
  <w:footnote w:id="259">
    <w:p w14:paraId="0995A1B2" w14:textId="2CBD7DE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76(2) Law 14/2013.</w:t>
      </w:r>
    </w:p>
  </w:footnote>
  <w:footnote w:id="260">
    <w:p w14:paraId="7DF42887" w14:textId="4707173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Seventh Additional Provision (4) Law 14/2013.</w:t>
      </w:r>
    </w:p>
  </w:footnote>
  <w:footnote w:id="261">
    <w:p w14:paraId="1BED6401"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67(3) Law 14/2013.</w:t>
      </w:r>
    </w:p>
  </w:footnote>
  <w:footnote w:id="262">
    <w:p w14:paraId="2B1FD662" w14:textId="788B633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Diario, ‘Golden visas shoot up: 41,000 foreigners obtain permits in exchange of buying luxury houses or by investing millions’ (</w:t>
      </w:r>
      <w:r w:rsidRPr="008E781C">
        <w:rPr>
          <w:i/>
          <w:szCs w:val="18"/>
        </w:rPr>
        <w:t>Los "visados dorados" se disparan: 41.000 extranjeros obtienen papeles por comprar casas de lujo o inversiones millonarias</w:t>
      </w:r>
      <w:r w:rsidRPr="008E781C">
        <w:rPr>
          <w:szCs w:val="18"/>
        </w:rPr>
        <w:t xml:space="preserve">), March 2018, available at </w:t>
      </w:r>
      <w:hyperlink r:id="rId45" w:history="1">
        <w:r w:rsidRPr="008E781C">
          <w:rPr>
            <w:rStyle w:val="Hyperlink"/>
            <w:szCs w:val="18"/>
          </w:rPr>
          <w:t>https://www.eldiario.es/economia/visados-extranjeros-invierten-millones-disparan_0_753125467.html</w:t>
        </w:r>
      </w:hyperlink>
      <w:r w:rsidRPr="008E781C">
        <w:rPr>
          <w:szCs w:val="18"/>
        </w:rPr>
        <w:t xml:space="preserve">.  </w:t>
      </w:r>
    </w:p>
  </w:footnote>
  <w:footnote w:id="263">
    <w:p w14:paraId="2159A734" w14:textId="20716EE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64 in relation to Article 66(2) and (3) Law 14/2013.</w:t>
      </w:r>
    </w:p>
  </w:footnote>
  <w:footnote w:id="264">
    <w:p w14:paraId="3E900F1D" w14:textId="5F5A8E6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62(5) Law 14/2013.</w:t>
      </w:r>
    </w:p>
  </w:footnote>
  <w:footnote w:id="265">
    <w:p w14:paraId="4705F7E4" w14:textId="546FC1C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 Law 10/2010, transposing Article 2 AMLD.</w:t>
      </w:r>
    </w:p>
  </w:footnote>
  <w:footnote w:id="266">
    <w:p w14:paraId="37A09976" w14:textId="655AA7C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 Law 10/2010 transposing, inter alia, Article 13(1)(d) AMLD.</w:t>
      </w:r>
    </w:p>
  </w:footnote>
  <w:footnote w:id="267">
    <w:p w14:paraId="38899D27" w14:textId="5D62DA0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3(2) Law 10/2010.</w:t>
      </w:r>
    </w:p>
  </w:footnote>
  <w:footnote w:id="268">
    <w:p w14:paraId="00233E0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32(1) Regulation 810/2009.</w:t>
      </w:r>
    </w:p>
  </w:footnote>
  <w:footnote w:id="269">
    <w:p w14:paraId="4128D6CD"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specific evidentiary means these authorities issue to certify that the investment has been carried out are explained in detail in Section II.2 (table on type of investment) of this Report.</w:t>
      </w:r>
    </w:p>
  </w:footnote>
  <w:footnote w:id="270">
    <w:p w14:paraId="56C549CB" w14:textId="73D0061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The Property Registry registers the acts, contracts and judicial or administrative decisions that affect real estate property and other rights on such property. The Property Registry is attached to the Ministry of Justice and run by the General Directorate of Registers and Notaries (</w:t>
      </w:r>
      <w:r w:rsidRPr="008E781C">
        <w:rPr>
          <w:i/>
          <w:szCs w:val="18"/>
        </w:rPr>
        <w:t>Dirección General de los Registros y del Notariado</w:t>
      </w:r>
      <w:r w:rsidRPr="008E781C">
        <w:rPr>
          <w:szCs w:val="18"/>
        </w:rPr>
        <w:t xml:space="preserve">, DGRN). Information available at the website of the Ministry of Justice </w:t>
      </w:r>
      <w:hyperlink r:id="rId46" w:anchor="id_1215198094406" w:history="1">
        <w:r w:rsidRPr="008E781C">
          <w:rPr>
            <w:rStyle w:val="Hyperlink"/>
            <w:szCs w:val="18"/>
          </w:rPr>
          <w:t>http://www.mjusticia.gob.es/cs/Satellite/Portal/es/areas-tematicas/registros/registro-propiedad#id_1215198094406</w:t>
        </w:r>
      </w:hyperlink>
      <w:r w:rsidRPr="008E781C">
        <w:rPr>
          <w:szCs w:val="18"/>
        </w:rPr>
        <w:t xml:space="preserve">. </w:t>
      </w:r>
    </w:p>
  </w:footnote>
  <w:footnote w:id="271">
    <w:p w14:paraId="0E4BBBFC" w14:textId="185E5FD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63(1) and 65 Law 14/2013 regarding the investors’ residence visa and Fourth Additional Provision Law 1472013 regarding the investors’ residence authorisation.</w:t>
      </w:r>
    </w:p>
  </w:footnote>
  <w:footnote w:id="272">
    <w:p w14:paraId="08CA4175" w14:textId="79FCC35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3(1) LOEX.</w:t>
      </w:r>
    </w:p>
  </w:footnote>
  <w:footnote w:id="273">
    <w:p w14:paraId="5B161BA4" w14:textId="6836CD95"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4 LOEX, whether it is legal short stay, temporary residence or long-term residence.</w:t>
      </w:r>
    </w:p>
  </w:footnote>
  <w:footnote w:id="274">
    <w:p w14:paraId="15D84640" w14:textId="0B3706D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5 LOEX.</w:t>
      </w:r>
    </w:p>
  </w:footnote>
  <w:footnote w:id="275">
    <w:p w14:paraId="786E0113" w14:textId="590E884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 LOEX.</w:t>
      </w:r>
    </w:p>
  </w:footnote>
  <w:footnote w:id="276">
    <w:p w14:paraId="3D7D44EB" w14:textId="1D8DDBC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7 LOEX.</w:t>
      </w:r>
    </w:p>
  </w:footnote>
  <w:footnote w:id="277">
    <w:p w14:paraId="5CEE0023" w14:textId="247C0AE1"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8 LOEX.</w:t>
      </w:r>
    </w:p>
  </w:footnote>
  <w:footnote w:id="278">
    <w:p w14:paraId="0DE7652A" w14:textId="44FFBDB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9 LOEX.</w:t>
      </w:r>
    </w:p>
  </w:footnote>
  <w:footnote w:id="279">
    <w:p w14:paraId="00DA9799" w14:textId="116EA3F2"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10 LOEX.</w:t>
      </w:r>
    </w:p>
  </w:footnote>
  <w:footnote w:id="280">
    <w:p w14:paraId="6B9A8EF3" w14:textId="4D30EC56"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11 LOEX.</w:t>
      </w:r>
    </w:p>
  </w:footnote>
  <w:footnote w:id="281">
    <w:p w14:paraId="11458CFA" w14:textId="2162A40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12 LOEX.</w:t>
      </w:r>
    </w:p>
  </w:footnote>
  <w:footnote w:id="282">
    <w:p w14:paraId="792F1330" w14:textId="70265960"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13 LOEX.</w:t>
      </w:r>
    </w:p>
  </w:footnote>
  <w:footnote w:id="283">
    <w:p w14:paraId="5C93EC89" w14:textId="631A4B84"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14 LOEX. The Spanish Social Security system ensures the persons covered (including third-country nationals and, thus, investors and their family members) the necessary protection (by granting pensions and subsidies) in the situations prescribed by law (e.g. unemployment, maternity, disabilities, etc.) not only linked to the fact that a person has an employment. MESS website, ‘General Information. What is the Social Security System?’ (</w:t>
      </w:r>
      <w:r w:rsidRPr="008E781C">
        <w:rPr>
          <w:i/>
          <w:szCs w:val="18"/>
        </w:rPr>
        <w:t>Información general: ¿qué es el Sistema de la Seguridad Social?</w:t>
      </w:r>
      <w:r w:rsidRPr="008E781C">
        <w:rPr>
          <w:szCs w:val="18"/>
        </w:rPr>
        <w:t xml:space="preserve">), available at </w:t>
      </w:r>
      <w:hyperlink r:id="rId47" w:history="1">
        <w:r w:rsidRPr="008E781C">
          <w:rPr>
            <w:rStyle w:val="Hyperlink"/>
            <w:szCs w:val="18"/>
          </w:rPr>
          <w:t>http://www.seg-social.es/Internet_1/Trabajadores/Afiliacion/Informaciongeneral/index.htm</w:t>
        </w:r>
      </w:hyperlink>
      <w:r w:rsidRPr="008E781C">
        <w:rPr>
          <w:szCs w:val="18"/>
        </w:rPr>
        <w:t xml:space="preserve">. </w:t>
      </w:r>
    </w:p>
  </w:footnote>
  <w:footnote w:id="284">
    <w:p w14:paraId="61E1946B" w14:textId="119AB44A"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3(1) LOEX refers to all foreigners who are legally in Spain (whether in a short-stay, temporary residence or long-term residence situation) and, thus, includes both investors as well as their family members.</w:t>
      </w:r>
    </w:p>
  </w:footnote>
  <w:footnote w:id="285">
    <w:p w14:paraId="2A91F0A3" w14:textId="37D7E93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15 LOEX. The countries with which Spain has a double-taxation agreement are listed on the Ministry of Finance website, available at </w:t>
      </w:r>
      <w:hyperlink r:id="rId48" w:history="1">
        <w:r w:rsidRPr="008E781C">
          <w:rPr>
            <w:rStyle w:val="Hyperlink"/>
            <w:szCs w:val="18"/>
          </w:rPr>
          <w:t>http://www.minhafp.gob.es/es-ES/Normativa%20y%20doctrina/Normativa/CDI/Paginas/CDI_Alfa.aspx</w:t>
        </w:r>
      </w:hyperlink>
      <w:r w:rsidRPr="008E781C">
        <w:rPr>
          <w:szCs w:val="18"/>
        </w:rPr>
        <w:t xml:space="preserve">. </w:t>
      </w:r>
    </w:p>
  </w:footnote>
  <w:footnote w:id="286">
    <w:p w14:paraId="1E3B4E59" w14:textId="7613980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MESS, ‘Report on the implementation on the Section on International Mobility of Law 14/2013 of 27 September on the support to entrepreneurs and their internationalisation’ (</w:t>
      </w:r>
      <w:r w:rsidRPr="008E781C">
        <w:rPr>
          <w:i/>
          <w:szCs w:val="18"/>
        </w:rPr>
        <w:t>Informe sobre la aplicación de la Sección de Movilidad Internacional de la Ley 14/2013, de 27 de septiembre, de apoyo a los emprendedores y su internacionalización</w:t>
      </w:r>
      <w:r w:rsidRPr="008E781C">
        <w:rPr>
          <w:szCs w:val="18"/>
        </w:rPr>
        <w:t xml:space="preserve">), April 2015, available at </w:t>
      </w:r>
      <w:hyperlink r:id="rId49" w:history="1">
        <w:r w:rsidRPr="008E781C">
          <w:rPr>
            <w:rStyle w:val="Hyperlink"/>
            <w:szCs w:val="18"/>
          </w:rPr>
          <w:t>http://extranjeros.empleo.gob.es/es/UnidadGrandesEmpresas/ley14_2013/documentacion/Informe_anual_de_la_Seccion_de_Movilidad_de_la_ley_14_2013.pdf</w:t>
        </w:r>
      </w:hyperlink>
      <w:r w:rsidRPr="008E781C">
        <w:rPr>
          <w:rStyle w:val="Hyperlink"/>
          <w:szCs w:val="18"/>
        </w:rPr>
        <w:t>.</w:t>
      </w:r>
      <w:r w:rsidRPr="008E781C">
        <w:rPr>
          <w:szCs w:val="18"/>
        </w:rPr>
        <w:t xml:space="preserve"> </w:t>
      </w:r>
    </w:p>
  </w:footnote>
  <w:footnote w:id="287">
    <w:p w14:paraId="18F6EEF2" w14:textId="1CE8BEC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Royal Decree of 24 July of 1889 publishing the Civil Code (), Official Gazette 206/1889, BOE-A-1889-4763, available at </w:t>
      </w:r>
      <w:hyperlink r:id="rId50" w:history="1">
        <w:r w:rsidRPr="008E781C">
          <w:rPr>
            <w:rStyle w:val="Hyperlink"/>
            <w:szCs w:val="18"/>
          </w:rPr>
          <w:t>https://boe.es/buscar/act.php?id=BOE-A-1889-4763</w:t>
        </w:r>
      </w:hyperlink>
      <w:r w:rsidRPr="008E781C">
        <w:rPr>
          <w:szCs w:val="18"/>
        </w:rPr>
        <w:t xml:space="preserve"> (last amended in June 2017) (Civil Code).</w:t>
      </w:r>
    </w:p>
  </w:footnote>
  <w:footnote w:id="288">
    <w:p w14:paraId="211F02A4" w14:textId="21B53AC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67(2) Law 14/2013.</w:t>
      </w:r>
    </w:p>
  </w:footnote>
  <w:footnote w:id="289">
    <w:p w14:paraId="1970F987"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21(2)(3)(4) and 22 Civil Code and Royal Decree 1004/2015, of 6 November, adopting the Regulation establishing the procedure to obtain the Spanish nationality by residence (</w:t>
      </w:r>
      <w:r w:rsidRPr="008E781C">
        <w:rPr>
          <w:i/>
          <w:szCs w:val="18"/>
        </w:rPr>
        <w:t>Real Decreto 1004/2015, de 6 de noviembre, por el que se aprueba el Reglamento por el que se regula el procedimiento para la adquisición de la nacionalidad española por residencia</w:t>
      </w:r>
      <w:r w:rsidRPr="008E781C">
        <w:rPr>
          <w:szCs w:val="18"/>
        </w:rPr>
        <w:t xml:space="preserve">), Official Gazette 267/2015, BOE-A-2015-12047, available at: </w:t>
      </w:r>
      <w:hyperlink r:id="rId51" w:history="1">
        <w:r w:rsidRPr="008E781C">
          <w:rPr>
            <w:rStyle w:val="Hyperlink"/>
            <w:szCs w:val="18"/>
          </w:rPr>
          <w:t>https://www.boe.es/buscar/act.php?id=BOE-A-2015-12047</w:t>
        </w:r>
      </w:hyperlink>
      <w:r w:rsidRPr="008E781C">
        <w:rPr>
          <w:szCs w:val="18"/>
        </w:rPr>
        <w:t xml:space="preserve">. </w:t>
      </w:r>
    </w:p>
  </w:footnote>
  <w:footnote w:id="290">
    <w:p w14:paraId="392CC58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Articles 21(2)(3)(4) and 22 Civil Code and Royal Decree 1004/2015, of 6 November, adopting the Regulation establishing the procedure to obtain the Spanish nationality by residence (</w:t>
      </w:r>
      <w:r w:rsidRPr="008E781C">
        <w:rPr>
          <w:i/>
          <w:szCs w:val="18"/>
        </w:rPr>
        <w:t>Real Decreto 1004/2015, de 6 de noviembre, por el que se aprueba el Reglamento por el que se regula el procedimiento para la adquisición de la nacionalidad española por residencia</w:t>
      </w:r>
      <w:r w:rsidRPr="008E781C">
        <w:rPr>
          <w:szCs w:val="18"/>
        </w:rPr>
        <w:t xml:space="preserve">), Official Gazette 267/2015, BOE-A-2015-12047, available at: </w:t>
      </w:r>
      <w:hyperlink r:id="rId52" w:history="1">
        <w:r w:rsidRPr="008E781C">
          <w:rPr>
            <w:rStyle w:val="Hyperlink"/>
            <w:szCs w:val="18"/>
          </w:rPr>
          <w:t>https://www.boe.es/buscar/act.php?id=BOE-A-2015-12047</w:t>
        </w:r>
      </w:hyperlink>
      <w:r w:rsidRPr="008E781C">
        <w:rPr>
          <w:szCs w:val="18"/>
        </w:rPr>
        <w:t xml:space="preserve">. </w:t>
      </w:r>
    </w:p>
  </w:footnote>
  <w:footnote w:id="291">
    <w:p w14:paraId="6F77B259" w14:textId="7777777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Article 22(4) and 23 Civil Code.</w:t>
      </w:r>
    </w:p>
  </w:footnote>
  <w:footnote w:id="292">
    <w:p w14:paraId="1111D9B9" w14:textId="316E0B43"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National Statistics Institute (</w:t>
      </w:r>
      <w:r w:rsidRPr="008E781C">
        <w:rPr>
          <w:i/>
          <w:szCs w:val="18"/>
        </w:rPr>
        <w:t>Instituto Nacional de Estadística</w:t>
      </w:r>
      <w:r w:rsidRPr="008E781C">
        <w:rPr>
          <w:szCs w:val="18"/>
        </w:rPr>
        <w:t xml:space="preserve">, INE) website, available at </w:t>
      </w:r>
      <w:hyperlink r:id="rId53" w:history="1">
        <w:r w:rsidRPr="008E781C">
          <w:rPr>
            <w:rStyle w:val="Hyperlink"/>
            <w:szCs w:val="18"/>
          </w:rPr>
          <w:t>http://www.ine.es/jaxi/tabla.do?type=pcaxis&amp;path=/t20/p279/serie/l0/&amp;file=01002.px</w:t>
        </w:r>
      </w:hyperlink>
      <w:r w:rsidRPr="008E781C">
        <w:rPr>
          <w:szCs w:val="18"/>
        </w:rPr>
        <w:t xml:space="preserve"> and </w:t>
      </w:r>
      <w:hyperlink r:id="rId54" w:history="1">
        <w:r w:rsidRPr="008E781C">
          <w:rPr>
            <w:rStyle w:val="Hyperlink"/>
            <w:szCs w:val="18"/>
          </w:rPr>
          <w:t>http://www.ine.es/dyngs/IOE/es/operacion.htm?numinv=63051</w:t>
        </w:r>
      </w:hyperlink>
      <w:r w:rsidRPr="008E781C">
        <w:rPr>
          <w:szCs w:val="18"/>
        </w:rPr>
        <w:t xml:space="preserve">. </w:t>
      </w:r>
    </w:p>
  </w:footnote>
  <w:footnote w:id="293">
    <w:p w14:paraId="29A2F4BB" w14:textId="6315ED3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Eleventh Final Provision Law 14/2013. These permits are regulated in Section II, Title V Law 14/2013 (Articles 61-76).</w:t>
      </w:r>
    </w:p>
  </w:footnote>
  <w:footnote w:id="294">
    <w:p w14:paraId="5C5F32DF" w14:textId="5FDB2FDD"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2015 MESS Report.</w:t>
      </w:r>
    </w:p>
  </w:footnote>
  <w:footnote w:id="295">
    <w:p w14:paraId="7D23E851" w14:textId="22D2DDC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General Directorate of International Trade and Investment, Sub-general Directorate on Analysis and Internationalisation Strategy, ‘Evaluation report half-way through the implementation of the Strategic Plan on the Internationalisation of the Spanish Economy 2014-2015’ (</w:t>
      </w:r>
      <w:r w:rsidRPr="008E781C">
        <w:rPr>
          <w:i/>
          <w:szCs w:val="18"/>
        </w:rPr>
        <w:t>Informe de evaluación a medio camino del plan estratégico de internacionalización de la economía española</w:t>
      </w:r>
      <w:r w:rsidRPr="008E781C">
        <w:rPr>
          <w:szCs w:val="18"/>
        </w:rPr>
        <w:t xml:space="preserve"> 2014-2015), April 2015, available at </w:t>
      </w:r>
      <w:hyperlink r:id="rId55" w:history="1">
        <w:r w:rsidRPr="008E781C">
          <w:rPr>
            <w:rStyle w:val="Hyperlink"/>
            <w:szCs w:val="18"/>
          </w:rPr>
          <w:t>http://www.comercio.gob.es/es-ES/noticias/Documents/Informe%20de%20Evaluaci%C3%B3n%20del%20PEEI.pdf</w:t>
        </w:r>
      </w:hyperlink>
      <w:r w:rsidRPr="008E781C">
        <w:rPr>
          <w:szCs w:val="18"/>
        </w:rPr>
        <w:t xml:space="preserve"> p. 27</w:t>
      </w:r>
    </w:p>
  </w:footnote>
  <w:footnote w:id="296">
    <w:p w14:paraId="16E8A565" w14:textId="6306DC93" w:rsidR="008E781C" w:rsidRPr="008E781C" w:rsidRDefault="008E781C" w:rsidP="008E781C">
      <w:pPr>
        <w:pStyle w:val="FootnoteText"/>
        <w:rPr>
          <w:szCs w:val="18"/>
          <w:lang w:val="es-ES"/>
        </w:rPr>
      </w:pPr>
      <w:r w:rsidRPr="008E781C">
        <w:rPr>
          <w:rStyle w:val="FootnoteReference"/>
          <w:szCs w:val="18"/>
        </w:rPr>
        <w:footnoteRef/>
      </w:r>
      <w:r w:rsidRPr="008E781C">
        <w:rPr>
          <w:szCs w:val="18"/>
        </w:rPr>
        <w:t xml:space="preserve"> Ortega Giménez, A., and Navarro Plá, E.C., 2016, ‘Golden visas in Spain: success or failure?’ </w:t>
      </w:r>
      <w:r w:rsidRPr="008E781C">
        <w:rPr>
          <w:szCs w:val="18"/>
          <w:lang w:val="es-ES"/>
        </w:rPr>
        <w:t>(</w:t>
      </w:r>
      <w:r w:rsidRPr="008E781C">
        <w:rPr>
          <w:i/>
          <w:szCs w:val="18"/>
          <w:lang w:val="es-ES"/>
        </w:rPr>
        <w:t>La Golden Visa en España, ¿éxito o fracaso?</w:t>
      </w:r>
      <w:r w:rsidRPr="008E781C">
        <w:rPr>
          <w:szCs w:val="18"/>
          <w:lang w:val="es-ES"/>
        </w:rPr>
        <w:t xml:space="preserve">), ACMS publications, available at </w:t>
      </w:r>
      <w:hyperlink r:id="rId56" w:history="1">
        <w:r w:rsidRPr="008E781C">
          <w:rPr>
            <w:rStyle w:val="Hyperlink"/>
            <w:szCs w:val="18"/>
            <w:lang w:val="es-ES"/>
          </w:rPr>
          <w:t>https://acmspublicaciones.revistabarataria.es/wp-content/uploads/2017/05/33.Ortega.Valdep.2016.452_461.pdf</w:t>
        </w:r>
      </w:hyperlink>
      <w:r w:rsidRPr="008E781C">
        <w:rPr>
          <w:szCs w:val="18"/>
          <w:lang w:val="es-ES"/>
        </w:rPr>
        <w:t xml:space="preserve"> .</w:t>
      </w:r>
    </w:p>
  </w:footnote>
  <w:footnote w:id="297">
    <w:p w14:paraId="5DEA7314" w14:textId="4BE7F70F"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País, ‘Russian and Chinese citizens monopolise the visas granted for real estate investments’ (</w:t>
      </w:r>
      <w:r w:rsidRPr="008E781C">
        <w:rPr>
          <w:i/>
          <w:szCs w:val="18"/>
        </w:rPr>
        <w:t>Rusos y chinos acaparan los visados por compra de casas</w:t>
      </w:r>
      <w:r w:rsidRPr="008E781C">
        <w:rPr>
          <w:szCs w:val="18"/>
        </w:rPr>
        <w:t xml:space="preserve">), May 2018, available at </w:t>
      </w:r>
      <w:hyperlink r:id="rId57" w:history="1">
        <w:r w:rsidRPr="008E781C">
          <w:rPr>
            <w:rStyle w:val="Hyperlink"/>
            <w:szCs w:val="18"/>
          </w:rPr>
          <w:t>https://cincodias.elpais.com/cincodias/2018/05/04/midinero/1525450395_341550.html</w:t>
        </w:r>
      </w:hyperlink>
      <w:r w:rsidRPr="008E781C">
        <w:rPr>
          <w:szCs w:val="18"/>
        </w:rPr>
        <w:t>; El Diario, ‘Golden visas shoot up: 41,000 foreigners obtain permits in exchange of buying luxury houses or by investing millions’ (</w:t>
      </w:r>
      <w:r w:rsidRPr="008E781C">
        <w:rPr>
          <w:i/>
          <w:szCs w:val="18"/>
        </w:rPr>
        <w:t>Los "visados dorados" se disparan: 41.000 extranjeros obtienen papeles por comprar casas de lujo o inversiones millonarias</w:t>
      </w:r>
      <w:r w:rsidRPr="008E781C">
        <w:rPr>
          <w:szCs w:val="18"/>
        </w:rPr>
        <w:t xml:space="preserve">), March 2018, available at </w:t>
      </w:r>
      <w:hyperlink r:id="rId58" w:history="1">
        <w:r w:rsidRPr="008E781C">
          <w:rPr>
            <w:rStyle w:val="Hyperlink"/>
            <w:szCs w:val="18"/>
          </w:rPr>
          <w:t>https://www.eldiario.es/economia/visados-extranjeros-invierten-millones-disparan_0_753125467.html</w:t>
        </w:r>
      </w:hyperlink>
      <w:r w:rsidRPr="008E781C">
        <w:rPr>
          <w:szCs w:val="18"/>
        </w:rPr>
        <w:t>; El País, ‘Investment visas catches 2,157 million and attract Chinese and Russian millionaires’ (</w:t>
      </w:r>
      <w:r w:rsidRPr="008E781C">
        <w:rPr>
          <w:i/>
          <w:szCs w:val="18"/>
        </w:rPr>
        <w:t>Los visados por inversiones captan 2.157 millones y atraen a millonarios chinos y rusos</w:t>
      </w:r>
      <w:r w:rsidRPr="008E781C">
        <w:rPr>
          <w:szCs w:val="18"/>
        </w:rPr>
        <w:t xml:space="preserve">), April 2017, available at </w:t>
      </w:r>
      <w:hyperlink r:id="rId59" w:history="1">
        <w:r w:rsidRPr="008E781C">
          <w:rPr>
            <w:rStyle w:val="Hyperlink"/>
            <w:szCs w:val="18"/>
          </w:rPr>
          <w:t>https://elpais.com/economia/2017/04/23/actualidad/1492964484_077992.html</w:t>
        </w:r>
      </w:hyperlink>
      <w:r w:rsidRPr="008E781C">
        <w:rPr>
          <w:szCs w:val="18"/>
        </w:rPr>
        <w:t xml:space="preserve">; </w:t>
      </w:r>
    </w:p>
  </w:footnote>
  <w:footnote w:id="298">
    <w:p w14:paraId="16D2CF96" w14:textId="0543FA78"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This report could not be found through desk research nor could the stakeholder consulted (representative of the General Secretariat on Migration, competent authority, 21 June 2018) confirm the existence of this report.</w:t>
      </w:r>
    </w:p>
  </w:footnote>
  <w:footnote w:id="299">
    <w:p w14:paraId="5341300B" w14:textId="7DEDF047"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País, ‘Russian and Chinese citizens monopolise the visas granted for real estate investments’ (</w:t>
      </w:r>
      <w:r w:rsidRPr="008E781C">
        <w:rPr>
          <w:i/>
          <w:szCs w:val="18"/>
        </w:rPr>
        <w:t>Rusos y chinos acaparan los visados por compra de casas</w:t>
      </w:r>
      <w:r w:rsidRPr="008E781C">
        <w:rPr>
          <w:szCs w:val="18"/>
        </w:rPr>
        <w:t>), May 2018.</w:t>
      </w:r>
    </w:p>
  </w:footnote>
  <w:footnote w:id="300">
    <w:p w14:paraId="73EA0377" w14:textId="38018E6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País, ‘Russian and Chinese citizens monopolise the visas granted for real estate investments’ (</w:t>
      </w:r>
      <w:r w:rsidRPr="008E781C">
        <w:rPr>
          <w:i/>
          <w:szCs w:val="18"/>
        </w:rPr>
        <w:t>Rusos y chinos acaparan los visados por compra de casas</w:t>
      </w:r>
      <w:r w:rsidRPr="008E781C">
        <w:rPr>
          <w:szCs w:val="18"/>
        </w:rPr>
        <w:t>), May 2018.</w:t>
      </w:r>
    </w:p>
  </w:footnote>
  <w:footnote w:id="301">
    <w:p w14:paraId="18EBD0E4" w14:textId="4638A089" w:rsidR="008E781C" w:rsidRPr="008E781C" w:rsidRDefault="008E781C" w:rsidP="008E781C">
      <w:pPr>
        <w:pStyle w:val="FootnoteText"/>
        <w:rPr>
          <w:szCs w:val="18"/>
        </w:rPr>
      </w:pPr>
      <w:r w:rsidRPr="008E781C">
        <w:rPr>
          <w:rStyle w:val="FootnoteReference"/>
          <w:szCs w:val="18"/>
        </w:rPr>
        <w:footnoteRef/>
      </w:r>
      <w:r w:rsidRPr="008E781C">
        <w:rPr>
          <w:szCs w:val="18"/>
        </w:rPr>
        <w:t xml:space="preserve"> El Diario, ‘Golden visas shoot up: 41,000 foreigners obtain permits in exchange of buying luxury houses or by investing millions’ (</w:t>
      </w:r>
      <w:r w:rsidRPr="008E781C">
        <w:rPr>
          <w:i/>
          <w:szCs w:val="18"/>
        </w:rPr>
        <w:t>Los "visados dorados" se disparan: 41.000 extranjeros obtienen papeles por comprar casas de lujo o inversiones millonarias</w:t>
      </w:r>
      <w:r w:rsidRPr="008E781C">
        <w:rPr>
          <w:szCs w:val="18"/>
        </w:rPr>
        <w:t xml:space="preserve">), March 2018.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8E781C" w:rsidRPr="00D65D3B" w:rsidRDefault="008E781C"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27B6A"/>
    <w:multiLevelType w:val="hybridMultilevel"/>
    <w:tmpl w:val="5E6AA082"/>
    <w:lvl w:ilvl="0" w:tplc="080C0001">
      <w:start w:val="1"/>
      <w:numFmt w:val="bullet"/>
      <w:lvlText w:val=""/>
      <w:lvlJc w:val="left"/>
      <w:pPr>
        <w:ind w:left="774" w:hanging="360"/>
      </w:pPr>
      <w:rPr>
        <w:rFonts w:ascii="Symbol" w:hAnsi="Symbol" w:hint="default"/>
      </w:rPr>
    </w:lvl>
    <w:lvl w:ilvl="1" w:tplc="8FBEED3C">
      <w:start w:val="1"/>
      <w:numFmt w:val="bullet"/>
      <w:lvlText w:val=""/>
      <w:lvlJc w:val="left"/>
      <w:pPr>
        <w:ind w:left="1494" w:hanging="360"/>
      </w:pPr>
      <w:rPr>
        <w:rFonts w:ascii="Wingdings" w:hAnsi="Wingdings" w:hint="default"/>
        <w:b w:val="0"/>
        <w:i w:val="0"/>
        <w:color w:val="4F81BD" w:themeColor="accent1"/>
        <w:sz w:val="16"/>
        <w:u w:color="000080"/>
      </w:rPr>
    </w:lvl>
    <w:lvl w:ilvl="2" w:tplc="080C0005">
      <w:start w:val="1"/>
      <w:numFmt w:val="bullet"/>
      <w:lvlText w:val=""/>
      <w:lvlJc w:val="left"/>
      <w:pPr>
        <w:ind w:left="2214" w:hanging="360"/>
      </w:pPr>
      <w:rPr>
        <w:rFonts w:ascii="Wingdings" w:hAnsi="Wingdings"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1" w15:restartNumberingAfterBreak="0">
    <w:nsid w:val="015D69C2"/>
    <w:multiLevelType w:val="hybridMultilevel"/>
    <w:tmpl w:val="4A2862EE"/>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1A4CF0"/>
    <w:multiLevelType w:val="hybridMultilevel"/>
    <w:tmpl w:val="B6124B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3E0195"/>
    <w:multiLevelType w:val="hybridMultilevel"/>
    <w:tmpl w:val="C8560ED0"/>
    <w:lvl w:ilvl="0" w:tplc="08090015">
      <w:start w:val="1"/>
      <w:numFmt w:val="bullet"/>
      <w:lvlText w:val=""/>
      <w:lvlJc w:val="left"/>
      <w:pPr>
        <w:ind w:left="774" w:hanging="360"/>
      </w:pPr>
      <w:rPr>
        <w:rFonts w:ascii="Wingdings" w:hAnsi="Wingdings" w:hint="default"/>
        <w:b w:val="0"/>
        <w:i w:val="0"/>
        <w:color w:val="4F81BD"/>
        <w:sz w:val="16"/>
        <w:u w:color="000080"/>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4" w15:restartNumberingAfterBreak="0">
    <w:nsid w:val="052A5E3B"/>
    <w:multiLevelType w:val="hybridMultilevel"/>
    <w:tmpl w:val="69D8E128"/>
    <w:lvl w:ilvl="0" w:tplc="080C000F">
      <w:start w:val="1"/>
      <w:numFmt w:val="decimal"/>
      <w:lvlText w:val="%1."/>
      <w:lvlJc w:val="left"/>
      <w:pPr>
        <w:ind w:left="774" w:hanging="360"/>
      </w:pPr>
      <w:rPr>
        <w:rFonts w:hint="default"/>
      </w:rPr>
    </w:lvl>
    <w:lvl w:ilvl="1" w:tplc="080C0003">
      <w:start w:val="1"/>
      <w:numFmt w:val="bullet"/>
      <w:lvlText w:val="o"/>
      <w:lvlJc w:val="left"/>
      <w:pPr>
        <w:ind w:left="1494" w:hanging="360"/>
      </w:pPr>
      <w:rPr>
        <w:rFonts w:ascii="Courier New" w:hAnsi="Courier New" w:cs="Courier New" w:hint="default"/>
      </w:rPr>
    </w:lvl>
    <w:lvl w:ilvl="2" w:tplc="080C0005">
      <w:start w:val="1"/>
      <w:numFmt w:val="bullet"/>
      <w:lvlText w:val=""/>
      <w:lvlJc w:val="left"/>
      <w:pPr>
        <w:ind w:left="2214" w:hanging="360"/>
      </w:pPr>
      <w:rPr>
        <w:rFonts w:ascii="Wingdings" w:hAnsi="Wingdings"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5" w15:restartNumberingAfterBreak="0">
    <w:nsid w:val="05AF289F"/>
    <w:multiLevelType w:val="hybridMultilevel"/>
    <w:tmpl w:val="13D8C1BC"/>
    <w:lvl w:ilvl="0" w:tplc="080C0001">
      <w:start w:val="1"/>
      <w:numFmt w:val="bullet"/>
      <w:lvlText w:val=""/>
      <w:lvlJc w:val="left"/>
      <w:pPr>
        <w:ind w:left="774" w:hanging="360"/>
      </w:pPr>
      <w:rPr>
        <w:rFonts w:ascii="Symbol" w:hAnsi="Symbol" w:hint="default"/>
      </w:rPr>
    </w:lvl>
    <w:lvl w:ilvl="1" w:tplc="080C0003">
      <w:start w:val="1"/>
      <w:numFmt w:val="bullet"/>
      <w:lvlText w:val="o"/>
      <w:lvlJc w:val="left"/>
      <w:pPr>
        <w:ind w:left="1494" w:hanging="360"/>
      </w:pPr>
      <w:rPr>
        <w:rFonts w:ascii="Courier New" w:hAnsi="Courier New" w:cs="Courier New" w:hint="default"/>
      </w:rPr>
    </w:lvl>
    <w:lvl w:ilvl="2" w:tplc="7B2CDD94">
      <w:start w:val="1"/>
      <w:numFmt w:val="bullet"/>
      <w:lvlText w:val="-"/>
      <w:lvlJc w:val="left"/>
      <w:pPr>
        <w:ind w:left="2214" w:hanging="360"/>
      </w:pPr>
      <w:rPr>
        <w:rFonts w:ascii="Courier New" w:hAnsi="Courier New"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6" w15:restartNumberingAfterBreak="0">
    <w:nsid w:val="0B684D6A"/>
    <w:multiLevelType w:val="hybridMultilevel"/>
    <w:tmpl w:val="0D6EA06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0A7AD6"/>
    <w:multiLevelType w:val="hybridMultilevel"/>
    <w:tmpl w:val="760C3FA4"/>
    <w:lvl w:ilvl="0" w:tplc="08090015">
      <w:start w:val="1"/>
      <w:numFmt w:val="bullet"/>
      <w:lvlText w:val=""/>
      <w:lvlJc w:val="left"/>
      <w:pPr>
        <w:ind w:left="720" w:hanging="360"/>
      </w:pPr>
      <w:rPr>
        <w:rFonts w:ascii="Wingdings" w:hAnsi="Wingdings" w:hint="default"/>
        <w:b w:val="0"/>
        <w:i w:val="0"/>
        <w:color w:val="4F81BD"/>
        <w:sz w:val="16"/>
        <w:u w:color="000080"/>
      </w:rPr>
    </w:lvl>
    <w:lvl w:ilvl="1" w:tplc="7B2CDD94">
      <w:start w:val="1"/>
      <w:numFmt w:val="bullet"/>
      <w:lvlText w:val="-"/>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0CF5580E"/>
    <w:multiLevelType w:val="hybridMultilevel"/>
    <w:tmpl w:val="312AA436"/>
    <w:lvl w:ilvl="0" w:tplc="A52C2A3A">
      <w:start w:val="1"/>
      <w:numFmt w:val="bullet"/>
      <w:lvlText w:val=""/>
      <w:lvlJc w:val="left"/>
      <w:pPr>
        <w:ind w:left="774" w:hanging="360"/>
      </w:pPr>
      <w:rPr>
        <w:rFonts w:ascii="Wingdings" w:hAnsi="Wingdings" w:hint="default"/>
        <w:color w:val="4F81BD" w:themeColor="accent1"/>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9"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11466869"/>
    <w:multiLevelType w:val="hybridMultilevel"/>
    <w:tmpl w:val="1718387A"/>
    <w:lvl w:ilvl="0" w:tplc="08090017">
      <w:start w:val="1"/>
      <w:numFmt w:val="lowerLetter"/>
      <w:lvlText w:val="%1)"/>
      <w:lvlJc w:val="left"/>
      <w:pPr>
        <w:ind w:left="720" w:hanging="360"/>
      </w:pPr>
      <w:rPr>
        <w:rFonts w:hint="default"/>
      </w:rPr>
    </w:lvl>
    <w:lvl w:ilvl="1" w:tplc="A52C2A3A">
      <w:start w:val="1"/>
      <w:numFmt w:val="bullet"/>
      <w:lvlText w:val=""/>
      <w:lvlJc w:val="left"/>
      <w:pPr>
        <w:ind w:left="1440" w:hanging="360"/>
      </w:pPr>
      <w:rPr>
        <w:rFonts w:ascii="Wingdings" w:hAnsi="Wingdings" w:hint="default"/>
        <w:color w:val="4F81BD" w:themeColor="accent1"/>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11D24CD9"/>
    <w:multiLevelType w:val="hybridMultilevel"/>
    <w:tmpl w:val="C1E02284"/>
    <w:lvl w:ilvl="0" w:tplc="08090015">
      <w:start w:val="1"/>
      <w:numFmt w:val="bullet"/>
      <w:lvlText w:val=""/>
      <w:lvlJc w:val="left"/>
      <w:pPr>
        <w:ind w:left="774" w:hanging="360"/>
      </w:pPr>
      <w:rPr>
        <w:rFonts w:ascii="Wingdings" w:hAnsi="Wingdings" w:hint="default"/>
        <w:b w:val="0"/>
        <w:i w:val="0"/>
        <w:color w:val="4F81BD"/>
        <w:sz w:val="16"/>
        <w:u w:color="000080"/>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 w15:restartNumberingAfterBreak="0">
    <w:nsid w:val="14B05356"/>
    <w:multiLevelType w:val="hybridMultilevel"/>
    <w:tmpl w:val="A63CD5A2"/>
    <w:lvl w:ilvl="0" w:tplc="080C0001">
      <w:start w:val="1"/>
      <w:numFmt w:val="bullet"/>
      <w:lvlText w:val=""/>
      <w:lvlJc w:val="left"/>
      <w:pPr>
        <w:ind w:left="774" w:hanging="360"/>
      </w:pPr>
      <w:rPr>
        <w:rFonts w:ascii="Symbol" w:hAnsi="Symbol" w:hint="default"/>
      </w:rPr>
    </w:lvl>
    <w:lvl w:ilvl="1" w:tplc="080C0003">
      <w:start w:val="1"/>
      <w:numFmt w:val="bullet"/>
      <w:lvlText w:val="o"/>
      <w:lvlJc w:val="left"/>
      <w:pPr>
        <w:ind w:left="1494" w:hanging="360"/>
      </w:pPr>
      <w:rPr>
        <w:rFonts w:ascii="Courier New" w:hAnsi="Courier New" w:cs="Courier New" w:hint="default"/>
      </w:rPr>
    </w:lvl>
    <w:lvl w:ilvl="2" w:tplc="080C0005">
      <w:start w:val="1"/>
      <w:numFmt w:val="bullet"/>
      <w:lvlText w:val=""/>
      <w:lvlJc w:val="left"/>
      <w:pPr>
        <w:ind w:left="2214" w:hanging="360"/>
      </w:pPr>
      <w:rPr>
        <w:rFonts w:ascii="Wingdings" w:hAnsi="Wingdings"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13" w15:restartNumberingAfterBreak="0">
    <w:nsid w:val="15DB2077"/>
    <w:multiLevelType w:val="hybridMultilevel"/>
    <w:tmpl w:val="378C6C8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15:restartNumberingAfterBreak="0">
    <w:nsid w:val="19A038EC"/>
    <w:multiLevelType w:val="hybridMultilevel"/>
    <w:tmpl w:val="0246981E"/>
    <w:lvl w:ilvl="0" w:tplc="8FBEED3C">
      <w:start w:val="1"/>
      <w:numFmt w:val="bullet"/>
      <w:lvlText w:val=""/>
      <w:lvlJc w:val="left"/>
      <w:pPr>
        <w:ind w:left="720" w:hanging="360"/>
      </w:pPr>
      <w:rPr>
        <w:rFonts w:ascii="Wingdings" w:hAnsi="Wingdings" w:hint="default"/>
        <w:b w:val="0"/>
        <w:i w:val="0"/>
        <w:color w:val="4F81BD" w:themeColor="accent1"/>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55616B"/>
    <w:multiLevelType w:val="hybridMultilevel"/>
    <w:tmpl w:val="67AA5CF4"/>
    <w:lvl w:ilvl="0" w:tplc="08090013">
      <w:start w:val="1"/>
      <w:numFmt w:val="upperRoman"/>
      <w:lvlText w:val="%1."/>
      <w:lvlJc w:val="right"/>
      <w:pPr>
        <w:ind w:left="720" w:hanging="360"/>
      </w:pPr>
    </w:lvl>
    <w:lvl w:ilvl="1" w:tplc="999A3F36">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1410110"/>
    <w:multiLevelType w:val="hybridMultilevel"/>
    <w:tmpl w:val="9DFAE7E0"/>
    <w:lvl w:ilvl="0" w:tplc="8FBEED3C">
      <w:start w:val="1"/>
      <w:numFmt w:val="bullet"/>
      <w:lvlText w:val=""/>
      <w:lvlJc w:val="left"/>
      <w:pPr>
        <w:ind w:left="774" w:hanging="360"/>
      </w:pPr>
      <w:rPr>
        <w:rFonts w:ascii="Wingdings" w:hAnsi="Wingdings" w:hint="default"/>
        <w:b w:val="0"/>
        <w:i w:val="0"/>
        <w:color w:val="4F81BD" w:themeColor="accent1"/>
        <w:sz w:val="16"/>
        <w:u w:color="000080"/>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8" w15:restartNumberingAfterBreak="0">
    <w:nsid w:val="21DF18AB"/>
    <w:multiLevelType w:val="hybridMultilevel"/>
    <w:tmpl w:val="14F2DF46"/>
    <w:lvl w:ilvl="0" w:tplc="9D02F72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1FC6971"/>
    <w:multiLevelType w:val="hybridMultilevel"/>
    <w:tmpl w:val="B914C1E8"/>
    <w:lvl w:ilvl="0" w:tplc="08090015">
      <w:start w:val="1"/>
      <w:numFmt w:val="bullet"/>
      <w:lvlText w:val=""/>
      <w:lvlJc w:val="left"/>
      <w:pPr>
        <w:ind w:left="770" w:hanging="360"/>
      </w:pPr>
      <w:rPr>
        <w:rFonts w:ascii="Wingdings" w:hAnsi="Wingdings" w:hint="default"/>
        <w:b w:val="0"/>
        <w:i w:val="0"/>
        <w:color w:val="4F81BD"/>
        <w:sz w:val="16"/>
        <w:u w:color="000080"/>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0" w15:restartNumberingAfterBreak="0">
    <w:nsid w:val="23471882"/>
    <w:multiLevelType w:val="hybridMultilevel"/>
    <w:tmpl w:val="C7661A10"/>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3A40E9D"/>
    <w:multiLevelType w:val="hybridMultilevel"/>
    <w:tmpl w:val="93EAE130"/>
    <w:lvl w:ilvl="0" w:tplc="7B2CDD94">
      <w:start w:val="1"/>
      <w:numFmt w:val="bullet"/>
      <w:lvlText w:val="-"/>
      <w:lvlJc w:val="left"/>
      <w:pPr>
        <w:ind w:left="720" w:hanging="360"/>
      </w:pPr>
      <w:rPr>
        <w:rFonts w:ascii="Courier New" w:hAnsi="Courier New" w:hint="default"/>
        <w:b w:val="0"/>
        <w:i w:val="0"/>
        <w:color w:val="4F81BD"/>
        <w:sz w:val="16"/>
        <w:u w:color="000080"/>
      </w:rPr>
    </w:lvl>
    <w:lvl w:ilvl="1" w:tplc="7B2CDD94">
      <w:start w:val="1"/>
      <w:numFmt w:val="bullet"/>
      <w:lvlText w:val="-"/>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29BE218F"/>
    <w:multiLevelType w:val="hybridMultilevel"/>
    <w:tmpl w:val="5AA83220"/>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B6D2B2B"/>
    <w:multiLevelType w:val="hybridMultilevel"/>
    <w:tmpl w:val="0C9871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2F633109"/>
    <w:multiLevelType w:val="hybridMultilevel"/>
    <w:tmpl w:val="D57EBE26"/>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164124F"/>
    <w:multiLevelType w:val="hybridMultilevel"/>
    <w:tmpl w:val="0F1864A8"/>
    <w:lvl w:ilvl="0" w:tplc="7B2CDD94">
      <w:start w:val="1"/>
      <w:numFmt w:val="bullet"/>
      <w:lvlText w:val="-"/>
      <w:lvlJc w:val="left"/>
      <w:pPr>
        <w:ind w:left="720" w:hanging="360"/>
      </w:pPr>
      <w:rPr>
        <w:rFonts w:ascii="Courier New" w:hAnsi="Courier New"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15:restartNumberingAfterBreak="0">
    <w:nsid w:val="40400C9D"/>
    <w:multiLevelType w:val="hybridMultilevel"/>
    <w:tmpl w:val="1F66D68E"/>
    <w:lvl w:ilvl="0" w:tplc="080C0001">
      <w:start w:val="1"/>
      <w:numFmt w:val="bullet"/>
      <w:lvlText w:val=""/>
      <w:lvlJc w:val="left"/>
      <w:pPr>
        <w:ind w:left="774" w:hanging="360"/>
      </w:pPr>
      <w:rPr>
        <w:rFonts w:ascii="Symbol" w:hAnsi="Symbol" w:hint="default"/>
      </w:rPr>
    </w:lvl>
    <w:lvl w:ilvl="1" w:tplc="BF04A892">
      <w:start w:val="1"/>
      <w:numFmt w:val="bullet"/>
      <w:lvlText w:val=""/>
      <w:lvlJc w:val="left"/>
      <w:pPr>
        <w:ind w:left="1494" w:hanging="360"/>
      </w:pPr>
      <w:rPr>
        <w:rFonts w:ascii="Symbol" w:hAnsi="Symbol" w:hint="default"/>
      </w:rPr>
    </w:lvl>
    <w:lvl w:ilvl="2" w:tplc="080C0005">
      <w:start w:val="1"/>
      <w:numFmt w:val="bullet"/>
      <w:lvlText w:val=""/>
      <w:lvlJc w:val="left"/>
      <w:pPr>
        <w:ind w:left="2214" w:hanging="360"/>
      </w:pPr>
      <w:rPr>
        <w:rFonts w:ascii="Wingdings" w:hAnsi="Wingdings" w:hint="default"/>
      </w:rPr>
    </w:lvl>
    <w:lvl w:ilvl="3" w:tplc="080C0001" w:tentative="1">
      <w:start w:val="1"/>
      <w:numFmt w:val="bullet"/>
      <w:lvlText w:val=""/>
      <w:lvlJc w:val="left"/>
      <w:pPr>
        <w:ind w:left="2934" w:hanging="360"/>
      </w:pPr>
      <w:rPr>
        <w:rFonts w:ascii="Symbol" w:hAnsi="Symbol" w:hint="default"/>
      </w:rPr>
    </w:lvl>
    <w:lvl w:ilvl="4" w:tplc="080C0003" w:tentative="1">
      <w:start w:val="1"/>
      <w:numFmt w:val="bullet"/>
      <w:lvlText w:val="o"/>
      <w:lvlJc w:val="left"/>
      <w:pPr>
        <w:ind w:left="3654" w:hanging="360"/>
      </w:pPr>
      <w:rPr>
        <w:rFonts w:ascii="Courier New" w:hAnsi="Courier New" w:cs="Courier New" w:hint="default"/>
      </w:rPr>
    </w:lvl>
    <w:lvl w:ilvl="5" w:tplc="080C0005" w:tentative="1">
      <w:start w:val="1"/>
      <w:numFmt w:val="bullet"/>
      <w:lvlText w:val=""/>
      <w:lvlJc w:val="left"/>
      <w:pPr>
        <w:ind w:left="4374" w:hanging="360"/>
      </w:pPr>
      <w:rPr>
        <w:rFonts w:ascii="Wingdings" w:hAnsi="Wingdings" w:hint="default"/>
      </w:rPr>
    </w:lvl>
    <w:lvl w:ilvl="6" w:tplc="080C0001" w:tentative="1">
      <w:start w:val="1"/>
      <w:numFmt w:val="bullet"/>
      <w:lvlText w:val=""/>
      <w:lvlJc w:val="left"/>
      <w:pPr>
        <w:ind w:left="5094" w:hanging="360"/>
      </w:pPr>
      <w:rPr>
        <w:rFonts w:ascii="Symbol" w:hAnsi="Symbol" w:hint="default"/>
      </w:rPr>
    </w:lvl>
    <w:lvl w:ilvl="7" w:tplc="080C0003" w:tentative="1">
      <w:start w:val="1"/>
      <w:numFmt w:val="bullet"/>
      <w:lvlText w:val="o"/>
      <w:lvlJc w:val="left"/>
      <w:pPr>
        <w:ind w:left="5814" w:hanging="360"/>
      </w:pPr>
      <w:rPr>
        <w:rFonts w:ascii="Courier New" w:hAnsi="Courier New" w:cs="Courier New" w:hint="default"/>
      </w:rPr>
    </w:lvl>
    <w:lvl w:ilvl="8" w:tplc="080C0005" w:tentative="1">
      <w:start w:val="1"/>
      <w:numFmt w:val="bullet"/>
      <w:lvlText w:val=""/>
      <w:lvlJc w:val="left"/>
      <w:pPr>
        <w:ind w:left="6534" w:hanging="360"/>
      </w:pPr>
      <w:rPr>
        <w:rFonts w:ascii="Wingdings" w:hAnsi="Wingdings" w:hint="default"/>
      </w:rPr>
    </w:lvl>
  </w:abstractNum>
  <w:abstractNum w:abstractNumId="29" w15:restartNumberingAfterBreak="0">
    <w:nsid w:val="413D13D6"/>
    <w:multiLevelType w:val="hybridMultilevel"/>
    <w:tmpl w:val="739202F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15:restartNumberingAfterBreak="0">
    <w:nsid w:val="422303DB"/>
    <w:multiLevelType w:val="hybridMultilevel"/>
    <w:tmpl w:val="00C4BF24"/>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43845244"/>
    <w:multiLevelType w:val="hybridMultilevel"/>
    <w:tmpl w:val="A37C58F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44AA7609"/>
    <w:multiLevelType w:val="hybridMultilevel"/>
    <w:tmpl w:val="3026A252"/>
    <w:lvl w:ilvl="0" w:tplc="8FBEED3C">
      <w:start w:val="1"/>
      <w:numFmt w:val="bullet"/>
      <w:lvlText w:val=""/>
      <w:lvlJc w:val="left"/>
      <w:pPr>
        <w:ind w:left="720" w:hanging="360"/>
      </w:pPr>
      <w:rPr>
        <w:rFonts w:ascii="Wingdings" w:hAnsi="Wingdings" w:hint="default"/>
        <w:b w:val="0"/>
        <w:i w:val="0"/>
        <w:color w:val="4F81BD" w:themeColor="accent1"/>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48942721"/>
    <w:multiLevelType w:val="hybridMultilevel"/>
    <w:tmpl w:val="96248D9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9B97600"/>
    <w:multiLevelType w:val="hybridMultilevel"/>
    <w:tmpl w:val="43A2179C"/>
    <w:lvl w:ilvl="0" w:tplc="420637E4">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C17742"/>
    <w:multiLevelType w:val="hybridMultilevel"/>
    <w:tmpl w:val="780CC150"/>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67C11C5"/>
    <w:multiLevelType w:val="hybridMultilevel"/>
    <w:tmpl w:val="DE2CBAD0"/>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3437E7"/>
    <w:multiLevelType w:val="hybridMultilevel"/>
    <w:tmpl w:val="91FAB640"/>
    <w:lvl w:ilvl="0" w:tplc="8578E61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A536374"/>
    <w:multiLevelType w:val="hybridMultilevel"/>
    <w:tmpl w:val="5F6C2A9A"/>
    <w:lvl w:ilvl="0" w:tplc="08090015">
      <w:start w:val="1"/>
      <w:numFmt w:val="bullet"/>
      <w:lvlText w:val=""/>
      <w:lvlJc w:val="left"/>
      <w:pPr>
        <w:ind w:left="1146" w:hanging="360"/>
      </w:pPr>
      <w:rPr>
        <w:rFonts w:ascii="Wingdings" w:hAnsi="Wingdings" w:hint="default"/>
        <w:b w:val="0"/>
        <w:i w:val="0"/>
        <w:color w:val="4F81BD"/>
        <w:sz w:val="16"/>
        <w:u w:color="000080"/>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9" w15:restartNumberingAfterBreak="0">
    <w:nsid w:val="5E38546A"/>
    <w:multiLevelType w:val="hybridMultilevel"/>
    <w:tmpl w:val="F3C0C69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74A43C4"/>
    <w:multiLevelType w:val="hybridMultilevel"/>
    <w:tmpl w:val="0C068178"/>
    <w:lvl w:ilvl="0" w:tplc="08090011">
      <w:start w:val="1"/>
      <w:numFmt w:val="decimal"/>
      <w:lvlText w:val="%1)"/>
      <w:lvlJc w:val="left"/>
      <w:pPr>
        <w:ind w:left="720" w:hanging="360"/>
      </w:pPr>
    </w:lvl>
    <w:lvl w:ilvl="1" w:tplc="08090011">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76F62EC"/>
    <w:multiLevelType w:val="hybridMultilevel"/>
    <w:tmpl w:val="9CC814E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A727595"/>
    <w:multiLevelType w:val="hybridMultilevel"/>
    <w:tmpl w:val="347E126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AC14416"/>
    <w:multiLevelType w:val="hybridMultilevel"/>
    <w:tmpl w:val="25C8E242"/>
    <w:lvl w:ilvl="0" w:tplc="08090015">
      <w:start w:val="1"/>
      <w:numFmt w:val="bullet"/>
      <w:lvlText w:val=""/>
      <w:lvlJc w:val="left"/>
      <w:pPr>
        <w:ind w:left="720" w:hanging="360"/>
      </w:pPr>
      <w:rPr>
        <w:rFonts w:ascii="Wingdings" w:hAnsi="Wingdings" w:hint="default"/>
        <w:b w:val="0"/>
        <w:i w:val="0"/>
        <w:color w:val="4F81BD"/>
        <w:sz w:val="16"/>
        <w:u w:color="000080"/>
      </w:rPr>
    </w:lvl>
    <w:lvl w:ilvl="1" w:tplc="7B2CDD94">
      <w:start w:val="1"/>
      <w:numFmt w:val="bullet"/>
      <w:lvlText w:val="-"/>
      <w:lvlJc w:val="left"/>
      <w:pPr>
        <w:ind w:left="1440" w:hanging="360"/>
      </w:pPr>
      <w:rPr>
        <w:rFonts w:ascii="Courier New" w:hAnsi="Courier New" w:hint="default"/>
      </w:rPr>
    </w:lvl>
    <w:lvl w:ilvl="2" w:tplc="A52C2A3A">
      <w:start w:val="1"/>
      <w:numFmt w:val="bullet"/>
      <w:lvlText w:val=""/>
      <w:lvlJc w:val="left"/>
      <w:pPr>
        <w:ind w:left="2160" w:hanging="360"/>
      </w:pPr>
      <w:rPr>
        <w:rFonts w:ascii="Wingdings" w:hAnsi="Wingdings" w:hint="default"/>
        <w:color w:val="4F81BD" w:themeColor="accent1"/>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B0D2DB8"/>
    <w:multiLevelType w:val="hybridMultilevel"/>
    <w:tmpl w:val="4154A76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FAF51ED"/>
    <w:multiLevelType w:val="hybridMultilevel"/>
    <w:tmpl w:val="A094E2A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0065E18"/>
    <w:multiLevelType w:val="hybridMultilevel"/>
    <w:tmpl w:val="A766774C"/>
    <w:lvl w:ilvl="0" w:tplc="08090015">
      <w:start w:val="1"/>
      <w:numFmt w:val="bullet"/>
      <w:lvlText w:val=""/>
      <w:lvlJc w:val="left"/>
      <w:pPr>
        <w:ind w:left="778" w:hanging="360"/>
      </w:pPr>
      <w:rPr>
        <w:rFonts w:ascii="Wingdings" w:hAnsi="Wingdings" w:hint="default"/>
        <w:b w:val="0"/>
        <w:i w:val="0"/>
        <w:color w:val="4F81BD"/>
        <w:sz w:val="16"/>
        <w:u w:color="000080"/>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0" w15:restartNumberingAfterBreak="0">
    <w:nsid w:val="74F365A3"/>
    <w:multiLevelType w:val="hybridMultilevel"/>
    <w:tmpl w:val="E1866F4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2" w15:restartNumberingAfterBreak="0">
    <w:nsid w:val="75C56765"/>
    <w:multiLevelType w:val="hybridMultilevel"/>
    <w:tmpl w:val="990A9B3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79FA4749"/>
    <w:multiLevelType w:val="hybridMultilevel"/>
    <w:tmpl w:val="8BA848DE"/>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0"/>
  </w:num>
  <w:num w:numId="2">
    <w:abstractNumId w:val="43"/>
  </w:num>
  <w:num w:numId="3">
    <w:abstractNumId w:val="9"/>
  </w:num>
  <w:num w:numId="4">
    <w:abstractNumId w:val="24"/>
  </w:num>
  <w:num w:numId="5">
    <w:abstractNumId w:val="27"/>
  </w:num>
  <w:num w:numId="6">
    <w:abstractNumId w:val="16"/>
  </w:num>
  <w:num w:numId="7">
    <w:abstractNumId w:val="9"/>
  </w:num>
  <w:num w:numId="8">
    <w:abstractNumId w:val="51"/>
  </w:num>
  <w:num w:numId="9">
    <w:abstractNumId w:val="47"/>
  </w:num>
  <w:num w:numId="10">
    <w:abstractNumId w:val="15"/>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9"/>
  </w:num>
  <w:num w:numId="13">
    <w:abstractNumId w:val="6"/>
  </w:num>
  <w:num w:numId="14">
    <w:abstractNumId w:val="2"/>
  </w:num>
  <w:num w:numId="15">
    <w:abstractNumId w:val="29"/>
  </w:num>
  <w:num w:numId="16">
    <w:abstractNumId w:val="7"/>
  </w:num>
  <w:num w:numId="17">
    <w:abstractNumId w:val="10"/>
  </w:num>
  <w:num w:numId="18">
    <w:abstractNumId w:val="13"/>
  </w:num>
  <w:num w:numId="19">
    <w:abstractNumId w:val="31"/>
  </w:num>
  <w:num w:numId="20">
    <w:abstractNumId w:val="12"/>
  </w:num>
  <w:num w:numId="21">
    <w:abstractNumId w:val="4"/>
  </w:num>
  <w:num w:numId="22">
    <w:abstractNumId w:val="28"/>
  </w:num>
  <w:num w:numId="23">
    <w:abstractNumId w:val="0"/>
  </w:num>
  <w:num w:numId="24">
    <w:abstractNumId w:val="32"/>
  </w:num>
  <w:num w:numId="25">
    <w:abstractNumId w:val="30"/>
  </w:num>
  <w:num w:numId="26">
    <w:abstractNumId w:val="35"/>
  </w:num>
  <w:num w:numId="27">
    <w:abstractNumId w:val="46"/>
  </w:num>
  <w:num w:numId="28">
    <w:abstractNumId w:val="25"/>
  </w:num>
  <w:num w:numId="29">
    <w:abstractNumId w:val="27"/>
  </w:num>
  <w:num w:numId="30">
    <w:abstractNumId w:val="27"/>
  </w:num>
  <w:num w:numId="31">
    <w:abstractNumId w:val="38"/>
  </w:num>
  <w:num w:numId="32">
    <w:abstractNumId w:val="19"/>
  </w:num>
  <w:num w:numId="33">
    <w:abstractNumId w:val="21"/>
  </w:num>
  <w:num w:numId="34">
    <w:abstractNumId w:val="44"/>
  </w:num>
  <w:num w:numId="35">
    <w:abstractNumId w:val="45"/>
  </w:num>
  <w:num w:numId="36">
    <w:abstractNumId w:val="22"/>
  </w:num>
  <w:num w:numId="37">
    <w:abstractNumId w:val="41"/>
  </w:num>
  <w:num w:numId="38">
    <w:abstractNumId w:val="53"/>
  </w:num>
  <w:num w:numId="39">
    <w:abstractNumId w:val="33"/>
  </w:num>
  <w:num w:numId="40">
    <w:abstractNumId w:val="23"/>
  </w:num>
  <w:num w:numId="41">
    <w:abstractNumId w:val="34"/>
  </w:num>
  <w:num w:numId="42">
    <w:abstractNumId w:val="8"/>
  </w:num>
  <w:num w:numId="43">
    <w:abstractNumId w:val="1"/>
  </w:num>
  <w:num w:numId="44">
    <w:abstractNumId w:val="20"/>
  </w:num>
  <w:num w:numId="45">
    <w:abstractNumId w:val="37"/>
  </w:num>
  <w:num w:numId="46">
    <w:abstractNumId w:val="52"/>
  </w:num>
  <w:num w:numId="47">
    <w:abstractNumId w:val="18"/>
  </w:num>
  <w:num w:numId="48">
    <w:abstractNumId w:val="27"/>
  </w:num>
  <w:num w:numId="49">
    <w:abstractNumId w:val="27"/>
  </w:num>
  <w:num w:numId="50">
    <w:abstractNumId w:val="27"/>
  </w:num>
  <w:num w:numId="51">
    <w:abstractNumId w:val="48"/>
  </w:num>
  <w:num w:numId="52">
    <w:abstractNumId w:val="17"/>
  </w:num>
  <w:num w:numId="53">
    <w:abstractNumId w:val="27"/>
  </w:num>
  <w:num w:numId="54">
    <w:abstractNumId w:val="27"/>
  </w:num>
  <w:num w:numId="55">
    <w:abstractNumId w:val="3"/>
  </w:num>
  <w:num w:numId="56">
    <w:abstractNumId w:val="11"/>
  </w:num>
  <w:num w:numId="57">
    <w:abstractNumId w:val="50"/>
  </w:num>
  <w:num w:numId="58">
    <w:abstractNumId w:val="39"/>
  </w:num>
  <w:num w:numId="59">
    <w:abstractNumId w:val="42"/>
  </w:num>
  <w:num w:numId="60">
    <w:abstractNumId w:val="26"/>
  </w:num>
  <w:num w:numId="61">
    <w:abstractNumId w:val="14"/>
  </w:num>
  <w:num w:numId="62">
    <w:abstractNumId w:val="5"/>
  </w:num>
  <w:num w:numId="63">
    <w:abstractNumId w:val="27"/>
  </w:num>
  <w:num w:numId="64">
    <w:abstractNumId w:val="27"/>
  </w:num>
  <w:num w:numId="65">
    <w:abstractNumId w:val="3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0FB0"/>
    <w:rsid w:val="000032E4"/>
    <w:rsid w:val="00004711"/>
    <w:rsid w:val="00004FF4"/>
    <w:rsid w:val="0001137E"/>
    <w:rsid w:val="0001214D"/>
    <w:rsid w:val="00016CE0"/>
    <w:rsid w:val="00017518"/>
    <w:rsid w:val="0001760D"/>
    <w:rsid w:val="0001799A"/>
    <w:rsid w:val="00021362"/>
    <w:rsid w:val="00022CB4"/>
    <w:rsid w:val="00022F71"/>
    <w:rsid w:val="0002369B"/>
    <w:rsid w:val="00023B5E"/>
    <w:rsid w:val="000246FC"/>
    <w:rsid w:val="000250FE"/>
    <w:rsid w:val="00025E64"/>
    <w:rsid w:val="00026FAB"/>
    <w:rsid w:val="00027DA9"/>
    <w:rsid w:val="00030260"/>
    <w:rsid w:val="000307F8"/>
    <w:rsid w:val="00030E8A"/>
    <w:rsid w:val="0003129E"/>
    <w:rsid w:val="00033B4A"/>
    <w:rsid w:val="00033C0B"/>
    <w:rsid w:val="00033E04"/>
    <w:rsid w:val="00035609"/>
    <w:rsid w:val="0003617B"/>
    <w:rsid w:val="00037885"/>
    <w:rsid w:val="00037D7C"/>
    <w:rsid w:val="00042F15"/>
    <w:rsid w:val="000455DF"/>
    <w:rsid w:val="00045A8A"/>
    <w:rsid w:val="0004602D"/>
    <w:rsid w:val="0005157D"/>
    <w:rsid w:val="000522FA"/>
    <w:rsid w:val="000523EE"/>
    <w:rsid w:val="00052592"/>
    <w:rsid w:val="00053B1D"/>
    <w:rsid w:val="00053CC7"/>
    <w:rsid w:val="00054955"/>
    <w:rsid w:val="00054A43"/>
    <w:rsid w:val="0005677D"/>
    <w:rsid w:val="00057CC0"/>
    <w:rsid w:val="00057E7F"/>
    <w:rsid w:val="000647AE"/>
    <w:rsid w:val="00066125"/>
    <w:rsid w:val="00066F2F"/>
    <w:rsid w:val="0007086C"/>
    <w:rsid w:val="0007096F"/>
    <w:rsid w:val="0007122D"/>
    <w:rsid w:val="0007224E"/>
    <w:rsid w:val="00075201"/>
    <w:rsid w:val="00075ED8"/>
    <w:rsid w:val="00076D49"/>
    <w:rsid w:val="00077324"/>
    <w:rsid w:val="000804A3"/>
    <w:rsid w:val="000811F0"/>
    <w:rsid w:val="00081914"/>
    <w:rsid w:val="00082305"/>
    <w:rsid w:val="00083638"/>
    <w:rsid w:val="0008429B"/>
    <w:rsid w:val="00085C75"/>
    <w:rsid w:val="0009039B"/>
    <w:rsid w:val="000923CC"/>
    <w:rsid w:val="00092998"/>
    <w:rsid w:val="000930F3"/>
    <w:rsid w:val="00093DB6"/>
    <w:rsid w:val="00094653"/>
    <w:rsid w:val="000A0B51"/>
    <w:rsid w:val="000A1092"/>
    <w:rsid w:val="000A177C"/>
    <w:rsid w:val="000A2DAA"/>
    <w:rsid w:val="000A31C1"/>
    <w:rsid w:val="000A578E"/>
    <w:rsid w:val="000B0F0A"/>
    <w:rsid w:val="000B17A9"/>
    <w:rsid w:val="000B27BD"/>
    <w:rsid w:val="000B691C"/>
    <w:rsid w:val="000B7883"/>
    <w:rsid w:val="000C2425"/>
    <w:rsid w:val="000C2824"/>
    <w:rsid w:val="000C3447"/>
    <w:rsid w:val="000C507F"/>
    <w:rsid w:val="000C5216"/>
    <w:rsid w:val="000C59DD"/>
    <w:rsid w:val="000C6609"/>
    <w:rsid w:val="000C6D10"/>
    <w:rsid w:val="000C6ECE"/>
    <w:rsid w:val="000C74BF"/>
    <w:rsid w:val="000D010B"/>
    <w:rsid w:val="000D057C"/>
    <w:rsid w:val="000D24D9"/>
    <w:rsid w:val="000D2F8E"/>
    <w:rsid w:val="000D364F"/>
    <w:rsid w:val="000D6061"/>
    <w:rsid w:val="000D63B4"/>
    <w:rsid w:val="000D6D9D"/>
    <w:rsid w:val="000E0695"/>
    <w:rsid w:val="000E2C57"/>
    <w:rsid w:val="000E526C"/>
    <w:rsid w:val="000E5B23"/>
    <w:rsid w:val="000F14C3"/>
    <w:rsid w:val="000F1716"/>
    <w:rsid w:val="000F1882"/>
    <w:rsid w:val="000F3A60"/>
    <w:rsid w:val="000F3AF7"/>
    <w:rsid w:val="000F4AC6"/>
    <w:rsid w:val="000F5188"/>
    <w:rsid w:val="000F5832"/>
    <w:rsid w:val="000F668D"/>
    <w:rsid w:val="00100127"/>
    <w:rsid w:val="00101FA0"/>
    <w:rsid w:val="00102683"/>
    <w:rsid w:val="001037CE"/>
    <w:rsid w:val="00103DF5"/>
    <w:rsid w:val="0010753B"/>
    <w:rsid w:val="0011214D"/>
    <w:rsid w:val="00116C49"/>
    <w:rsid w:val="00117BAC"/>
    <w:rsid w:val="00120042"/>
    <w:rsid w:val="001206F4"/>
    <w:rsid w:val="001238C4"/>
    <w:rsid w:val="00125682"/>
    <w:rsid w:val="001258D1"/>
    <w:rsid w:val="001266FF"/>
    <w:rsid w:val="0013236E"/>
    <w:rsid w:val="00133293"/>
    <w:rsid w:val="00134A18"/>
    <w:rsid w:val="00134F72"/>
    <w:rsid w:val="001350D2"/>
    <w:rsid w:val="001365F0"/>
    <w:rsid w:val="00140762"/>
    <w:rsid w:val="00144BF6"/>
    <w:rsid w:val="00145507"/>
    <w:rsid w:val="001526CD"/>
    <w:rsid w:val="00152A18"/>
    <w:rsid w:val="00153C1F"/>
    <w:rsid w:val="00156DDB"/>
    <w:rsid w:val="00160163"/>
    <w:rsid w:val="00160F70"/>
    <w:rsid w:val="00161F7A"/>
    <w:rsid w:val="00165BD0"/>
    <w:rsid w:val="0016609D"/>
    <w:rsid w:val="001662D4"/>
    <w:rsid w:val="00166834"/>
    <w:rsid w:val="001668E3"/>
    <w:rsid w:val="00170244"/>
    <w:rsid w:val="00170C39"/>
    <w:rsid w:val="00173094"/>
    <w:rsid w:val="0017309F"/>
    <w:rsid w:val="00173AE0"/>
    <w:rsid w:val="00174418"/>
    <w:rsid w:val="00174BF1"/>
    <w:rsid w:val="00175487"/>
    <w:rsid w:val="0017712A"/>
    <w:rsid w:val="001771ED"/>
    <w:rsid w:val="00177566"/>
    <w:rsid w:val="00180242"/>
    <w:rsid w:val="0018200A"/>
    <w:rsid w:val="00182293"/>
    <w:rsid w:val="00183244"/>
    <w:rsid w:val="00184BF3"/>
    <w:rsid w:val="00185983"/>
    <w:rsid w:val="00192125"/>
    <w:rsid w:val="0019265C"/>
    <w:rsid w:val="0019372C"/>
    <w:rsid w:val="00194359"/>
    <w:rsid w:val="0019607E"/>
    <w:rsid w:val="001A0382"/>
    <w:rsid w:val="001A176D"/>
    <w:rsid w:val="001A4866"/>
    <w:rsid w:val="001A540F"/>
    <w:rsid w:val="001A5FE4"/>
    <w:rsid w:val="001A7351"/>
    <w:rsid w:val="001B161E"/>
    <w:rsid w:val="001B2A14"/>
    <w:rsid w:val="001B3C6E"/>
    <w:rsid w:val="001B5536"/>
    <w:rsid w:val="001B66BC"/>
    <w:rsid w:val="001C01F0"/>
    <w:rsid w:val="001C0D41"/>
    <w:rsid w:val="001C1106"/>
    <w:rsid w:val="001C11D9"/>
    <w:rsid w:val="001C13A0"/>
    <w:rsid w:val="001C1E15"/>
    <w:rsid w:val="001C292B"/>
    <w:rsid w:val="001C428C"/>
    <w:rsid w:val="001C6503"/>
    <w:rsid w:val="001D1B39"/>
    <w:rsid w:val="001D28AA"/>
    <w:rsid w:val="001D471C"/>
    <w:rsid w:val="001D4E3B"/>
    <w:rsid w:val="001D4FD2"/>
    <w:rsid w:val="001D7D74"/>
    <w:rsid w:val="001D7DA5"/>
    <w:rsid w:val="001E281D"/>
    <w:rsid w:val="001E309C"/>
    <w:rsid w:val="001F0937"/>
    <w:rsid w:val="001F14FD"/>
    <w:rsid w:val="001F39E0"/>
    <w:rsid w:val="001F73B8"/>
    <w:rsid w:val="002000B4"/>
    <w:rsid w:val="00201E2C"/>
    <w:rsid w:val="0020229F"/>
    <w:rsid w:val="002023A7"/>
    <w:rsid w:val="002024C9"/>
    <w:rsid w:val="0020292F"/>
    <w:rsid w:val="002038A3"/>
    <w:rsid w:val="00204BA5"/>
    <w:rsid w:val="00205690"/>
    <w:rsid w:val="002060C0"/>
    <w:rsid w:val="00206196"/>
    <w:rsid w:val="00206933"/>
    <w:rsid w:val="00207200"/>
    <w:rsid w:val="00207EA4"/>
    <w:rsid w:val="002104D4"/>
    <w:rsid w:val="00211AE7"/>
    <w:rsid w:val="00213133"/>
    <w:rsid w:val="00213E3A"/>
    <w:rsid w:val="00214D8E"/>
    <w:rsid w:val="00215399"/>
    <w:rsid w:val="0021570E"/>
    <w:rsid w:val="00215915"/>
    <w:rsid w:val="002178FE"/>
    <w:rsid w:val="00217C7F"/>
    <w:rsid w:val="00222A1E"/>
    <w:rsid w:val="00222EB0"/>
    <w:rsid w:val="00223F8C"/>
    <w:rsid w:val="002263E0"/>
    <w:rsid w:val="00226F14"/>
    <w:rsid w:val="0023263D"/>
    <w:rsid w:val="002337CB"/>
    <w:rsid w:val="00236317"/>
    <w:rsid w:val="0023733E"/>
    <w:rsid w:val="002404E3"/>
    <w:rsid w:val="00240889"/>
    <w:rsid w:val="00241AD3"/>
    <w:rsid w:val="00241E07"/>
    <w:rsid w:val="00241F57"/>
    <w:rsid w:val="0024637B"/>
    <w:rsid w:val="00247EAF"/>
    <w:rsid w:val="0025050F"/>
    <w:rsid w:val="0025058C"/>
    <w:rsid w:val="00251325"/>
    <w:rsid w:val="002518DA"/>
    <w:rsid w:val="0025204C"/>
    <w:rsid w:val="0025608B"/>
    <w:rsid w:val="00260154"/>
    <w:rsid w:val="00260D3E"/>
    <w:rsid w:val="0026173E"/>
    <w:rsid w:val="002636C6"/>
    <w:rsid w:val="002670E8"/>
    <w:rsid w:val="00267A4E"/>
    <w:rsid w:val="00270C12"/>
    <w:rsid w:val="002724C3"/>
    <w:rsid w:val="00274232"/>
    <w:rsid w:val="0027555F"/>
    <w:rsid w:val="00276435"/>
    <w:rsid w:val="0027732B"/>
    <w:rsid w:val="00277432"/>
    <w:rsid w:val="00280327"/>
    <w:rsid w:val="00280553"/>
    <w:rsid w:val="002805C2"/>
    <w:rsid w:val="00282730"/>
    <w:rsid w:val="00282C80"/>
    <w:rsid w:val="00282E22"/>
    <w:rsid w:val="00283366"/>
    <w:rsid w:val="002838DB"/>
    <w:rsid w:val="00283D09"/>
    <w:rsid w:val="00284E94"/>
    <w:rsid w:val="00284FB6"/>
    <w:rsid w:val="0028618D"/>
    <w:rsid w:val="00286885"/>
    <w:rsid w:val="00287E74"/>
    <w:rsid w:val="002908E7"/>
    <w:rsid w:val="0029229A"/>
    <w:rsid w:val="0029305F"/>
    <w:rsid w:val="00293A4E"/>
    <w:rsid w:val="002941FF"/>
    <w:rsid w:val="00294236"/>
    <w:rsid w:val="0029594E"/>
    <w:rsid w:val="00295E6E"/>
    <w:rsid w:val="002975AE"/>
    <w:rsid w:val="002975D8"/>
    <w:rsid w:val="00297B44"/>
    <w:rsid w:val="002A0F31"/>
    <w:rsid w:val="002A2B37"/>
    <w:rsid w:val="002A5FB2"/>
    <w:rsid w:val="002A638B"/>
    <w:rsid w:val="002B0460"/>
    <w:rsid w:val="002B19A5"/>
    <w:rsid w:val="002B2756"/>
    <w:rsid w:val="002B399D"/>
    <w:rsid w:val="002B5D09"/>
    <w:rsid w:val="002B6280"/>
    <w:rsid w:val="002C2EE7"/>
    <w:rsid w:val="002C3FA3"/>
    <w:rsid w:val="002C3FD5"/>
    <w:rsid w:val="002C53F7"/>
    <w:rsid w:val="002C5AC7"/>
    <w:rsid w:val="002C72F1"/>
    <w:rsid w:val="002C7F87"/>
    <w:rsid w:val="002D0A06"/>
    <w:rsid w:val="002D2E87"/>
    <w:rsid w:val="002D37F6"/>
    <w:rsid w:val="002D3B90"/>
    <w:rsid w:val="002D4298"/>
    <w:rsid w:val="002D446F"/>
    <w:rsid w:val="002D5AED"/>
    <w:rsid w:val="002D5CF9"/>
    <w:rsid w:val="002D6D79"/>
    <w:rsid w:val="002D7E77"/>
    <w:rsid w:val="002E09B3"/>
    <w:rsid w:val="002E0B98"/>
    <w:rsid w:val="002E5578"/>
    <w:rsid w:val="002E566C"/>
    <w:rsid w:val="002E7ADA"/>
    <w:rsid w:val="002E7B2B"/>
    <w:rsid w:val="002F0288"/>
    <w:rsid w:val="002F129F"/>
    <w:rsid w:val="002F295A"/>
    <w:rsid w:val="002F4E70"/>
    <w:rsid w:val="002F687D"/>
    <w:rsid w:val="002F7BA3"/>
    <w:rsid w:val="002F7BB0"/>
    <w:rsid w:val="00300380"/>
    <w:rsid w:val="003022B4"/>
    <w:rsid w:val="00302990"/>
    <w:rsid w:val="00302B2E"/>
    <w:rsid w:val="0030524A"/>
    <w:rsid w:val="00305ADD"/>
    <w:rsid w:val="003065BE"/>
    <w:rsid w:val="00306FF6"/>
    <w:rsid w:val="00310B03"/>
    <w:rsid w:val="00310B3F"/>
    <w:rsid w:val="003118B3"/>
    <w:rsid w:val="003139D6"/>
    <w:rsid w:val="00313B0D"/>
    <w:rsid w:val="00314841"/>
    <w:rsid w:val="003149C9"/>
    <w:rsid w:val="00317950"/>
    <w:rsid w:val="003204AA"/>
    <w:rsid w:val="00321D04"/>
    <w:rsid w:val="00323133"/>
    <w:rsid w:val="00323969"/>
    <w:rsid w:val="00324000"/>
    <w:rsid w:val="00324FF5"/>
    <w:rsid w:val="003266A6"/>
    <w:rsid w:val="003278E4"/>
    <w:rsid w:val="00327B65"/>
    <w:rsid w:val="00327F94"/>
    <w:rsid w:val="00332A37"/>
    <w:rsid w:val="003354D3"/>
    <w:rsid w:val="00335AA2"/>
    <w:rsid w:val="00336CF7"/>
    <w:rsid w:val="00337242"/>
    <w:rsid w:val="003404C0"/>
    <w:rsid w:val="00341676"/>
    <w:rsid w:val="0034175A"/>
    <w:rsid w:val="00341881"/>
    <w:rsid w:val="00342D9E"/>
    <w:rsid w:val="00343DBF"/>
    <w:rsid w:val="00344015"/>
    <w:rsid w:val="00344B90"/>
    <w:rsid w:val="0034524B"/>
    <w:rsid w:val="0034536F"/>
    <w:rsid w:val="00345FBC"/>
    <w:rsid w:val="003473C6"/>
    <w:rsid w:val="00347DF9"/>
    <w:rsid w:val="00351E21"/>
    <w:rsid w:val="003520D5"/>
    <w:rsid w:val="00355316"/>
    <w:rsid w:val="00360478"/>
    <w:rsid w:val="00360E7D"/>
    <w:rsid w:val="00361358"/>
    <w:rsid w:val="003617BB"/>
    <w:rsid w:val="00362931"/>
    <w:rsid w:val="00365E48"/>
    <w:rsid w:val="00367325"/>
    <w:rsid w:val="00367B78"/>
    <w:rsid w:val="003727A7"/>
    <w:rsid w:val="003750D7"/>
    <w:rsid w:val="0037675D"/>
    <w:rsid w:val="00376E4C"/>
    <w:rsid w:val="00377819"/>
    <w:rsid w:val="00380E33"/>
    <w:rsid w:val="00381A25"/>
    <w:rsid w:val="00381A9C"/>
    <w:rsid w:val="0038206D"/>
    <w:rsid w:val="003839AD"/>
    <w:rsid w:val="00383D42"/>
    <w:rsid w:val="00385590"/>
    <w:rsid w:val="0038725A"/>
    <w:rsid w:val="00387BD5"/>
    <w:rsid w:val="00387C01"/>
    <w:rsid w:val="00391E74"/>
    <w:rsid w:val="00392A17"/>
    <w:rsid w:val="00392F3D"/>
    <w:rsid w:val="003937EE"/>
    <w:rsid w:val="0039467A"/>
    <w:rsid w:val="0039525B"/>
    <w:rsid w:val="003965C6"/>
    <w:rsid w:val="00396DC7"/>
    <w:rsid w:val="00397149"/>
    <w:rsid w:val="0039776C"/>
    <w:rsid w:val="00397EAD"/>
    <w:rsid w:val="003A0C9C"/>
    <w:rsid w:val="003A26A1"/>
    <w:rsid w:val="003A41E8"/>
    <w:rsid w:val="003A4BB1"/>
    <w:rsid w:val="003A4DD5"/>
    <w:rsid w:val="003B25FE"/>
    <w:rsid w:val="003B3938"/>
    <w:rsid w:val="003B6D6F"/>
    <w:rsid w:val="003B794E"/>
    <w:rsid w:val="003C1247"/>
    <w:rsid w:val="003C37BD"/>
    <w:rsid w:val="003D0394"/>
    <w:rsid w:val="003D14F0"/>
    <w:rsid w:val="003D19A1"/>
    <w:rsid w:val="003D2E86"/>
    <w:rsid w:val="003D5D46"/>
    <w:rsid w:val="003D609C"/>
    <w:rsid w:val="003D70D8"/>
    <w:rsid w:val="003D7278"/>
    <w:rsid w:val="003D7B6F"/>
    <w:rsid w:val="003E00B8"/>
    <w:rsid w:val="003E0465"/>
    <w:rsid w:val="003E128C"/>
    <w:rsid w:val="003E564D"/>
    <w:rsid w:val="003E78EF"/>
    <w:rsid w:val="003F0423"/>
    <w:rsid w:val="003F2B42"/>
    <w:rsid w:val="003F42A4"/>
    <w:rsid w:val="003F4746"/>
    <w:rsid w:val="003F4FBD"/>
    <w:rsid w:val="003F66C7"/>
    <w:rsid w:val="003F76D6"/>
    <w:rsid w:val="00400DE5"/>
    <w:rsid w:val="0040498C"/>
    <w:rsid w:val="00404AA6"/>
    <w:rsid w:val="00406327"/>
    <w:rsid w:val="004071F9"/>
    <w:rsid w:val="004078DC"/>
    <w:rsid w:val="00411117"/>
    <w:rsid w:val="004138CB"/>
    <w:rsid w:val="00415435"/>
    <w:rsid w:val="004178C6"/>
    <w:rsid w:val="00417974"/>
    <w:rsid w:val="00421BA2"/>
    <w:rsid w:val="004225B0"/>
    <w:rsid w:val="00424CCE"/>
    <w:rsid w:val="004250CC"/>
    <w:rsid w:val="00425944"/>
    <w:rsid w:val="00426472"/>
    <w:rsid w:val="0043028A"/>
    <w:rsid w:val="004305D4"/>
    <w:rsid w:val="00431346"/>
    <w:rsid w:val="00432FB2"/>
    <w:rsid w:val="00433940"/>
    <w:rsid w:val="00435BA1"/>
    <w:rsid w:val="004364E1"/>
    <w:rsid w:val="004411F7"/>
    <w:rsid w:val="00442005"/>
    <w:rsid w:val="00442AC7"/>
    <w:rsid w:val="00446E8A"/>
    <w:rsid w:val="00450371"/>
    <w:rsid w:val="004505AD"/>
    <w:rsid w:val="00453506"/>
    <w:rsid w:val="0045510F"/>
    <w:rsid w:val="004553CC"/>
    <w:rsid w:val="004558B9"/>
    <w:rsid w:val="004558D9"/>
    <w:rsid w:val="004576E4"/>
    <w:rsid w:val="00460B07"/>
    <w:rsid w:val="00460F55"/>
    <w:rsid w:val="004614DE"/>
    <w:rsid w:val="004616EA"/>
    <w:rsid w:val="00464652"/>
    <w:rsid w:val="004646E3"/>
    <w:rsid w:val="00465C37"/>
    <w:rsid w:val="00465DA9"/>
    <w:rsid w:val="004672E8"/>
    <w:rsid w:val="00467D86"/>
    <w:rsid w:val="00467F16"/>
    <w:rsid w:val="0047104E"/>
    <w:rsid w:val="0047350D"/>
    <w:rsid w:val="00473AC1"/>
    <w:rsid w:val="0047530E"/>
    <w:rsid w:val="00475DDA"/>
    <w:rsid w:val="0048171B"/>
    <w:rsid w:val="00482C0C"/>
    <w:rsid w:val="00483E76"/>
    <w:rsid w:val="0048413A"/>
    <w:rsid w:val="00484752"/>
    <w:rsid w:val="004869D2"/>
    <w:rsid w:val="00487EBA"/>
    <w:rsid w:val="00491F54"/>
    <w:rsid w:val="00492DB8"/>
    <w:rsid w:val="00493C2A"/>
    <w:rsid w:val="004948CC"/>
    <w:rsid w:val="004949D5"/>
    <w:rsid w:val="004953E7"/>
    <w:rsid w:val="00495883"/>
    <w:rsid w:val="00496298"/>
    <w:rsid w:val="00496E8A"/>
    <w:rsid w:val="00497483"/>
    <w:rsid w:val="004A119F"/>
    <w:rsid w:val="004A22B4"/>
    <w:rsid w:val="004A2A62"/>
    <w:rsid w:val="004A3606"/>
    <w:rsid w:val="004A5E80"/>
    <w:rsid w:val="004B0F8C"/>
    <w:rsid w:val="004B1BFA"/>
    <w:rsid w:val="004B2A2E"/>
    <w:rsid w:val="004B41F0"/>
    <w:rsid w:val="004B551D"/>
    <w:rsid w:val="004B7D62"/>
    <w:rsid w:val="004C0074"/>
    <w:rsid w:val="004C2970"/>
    <w:rsid w:val="004C3082"/>
    <w:rsid w:val="004C32CE"/>
    <w:rsid w:val="004C33D5"/>
    <w:rsid w:val="004C3738"/>
    <w:rsid w:val="004C4540"/>
    <w:rsid w:val="004C4B97"/>
    <w:rsid w:val="004C5994"/>
    <w:rsid w:val="004C5E65"/>
    <w:rsid w:val="004C63A4"/>
    <w:rsid w:val="004C6525"/>
    <w:rsid w:val="004C70FE"/>
    <w:rsid w:val="004C713E"/>
    <w:rsid w:val="004C73A4"/>
    <w:rsid w:val="004D0FAF"/>
    <w:rsid w:val="004D1334"/>
    <w:rsid w:val="004D2315"/>
    <w:rsid w:val="004D298C"/>
    <w:rsid w:val="004D3663"/>
    <w:rsid w:val="004D6A87"/>
    <w:rsid w:val="004D7898"/>
    <w:rsid w:val="004E1800"/>
    <w:rsid w:val="004E278E"/>
    <w:rsid w:val="004E3E67"/>
    <w:rsid w:val="004E56DD"/>
    <w:rsid w:val="004E6663"/>
    <w:rsid w:val="004E6B0E"/>
    <w:rsid w:val="004F2565"/>
    <w:rsid w:val="004F40F6"/>
    <w:rsid w:val="004F64FA"/>
    <w:rsid w:val="004F6A6B"/>
    <w:rsid w:val="004F7819"/>
    <w:rsid w:val="00501383"/>
    <w:rsid w:val="005028F0"/>
    <w:rsid w:val="00503312"/>
    <w:rsid w:val="00506214"/>
    <w:rsid w:val="00511486"/>
    <w:rsid w:val="00511F44"/>
    <w:rsid w:val="00514501"/>
    <w:rsid w:val="00514ABB"/>
    <w:rsid w:val="0051501A"/>
    <w:rsid w:val="005205EC"/>
    <w:rsid w:val="00522166"/>
    <w:rsid w:val="00523824"/>
    <w:rsid w:val="00524A63"/>
    <w:rsid w:val="00525165"/>
    <w:rsid w:val="005267AC"/>
    <w:rsid w:val="0052715A"/>
    <w:rsid w:val="005278A4"/>
    <w:rsid w:val="005278F9"/>
    <w:rsid w:val="00530136"/>
    <w:rsid w:val="005302A2"/>
    <w:rsid w:val="005319E4"/>
    <w:rsid w:val="00533740"/>
    <w:rsid w:val="00533A7E"/>
    <w:rsid w:val="00534DAA"/>
    <w:rsid w:val="00536E67"/>
    <w:rsid w:val="00536F40"/>
    <w:rsid w:val="005370CE"/>
    <w:rsid w:val="00540706"/>
    <w:rsid w:val="005421E7"/>
    <w:rsid w:val="00542BCE"/>
    <w:rsid w:val="00543911"/>
    <w:rsid w:val="005520F6"/>
    <w:rsid w:val="0055374B"/>
    <w:rsid w:val="00553C6B"/>
    <w:rsid w:val="00554953"/>
    <w:rsid w:val="00554D53"/>
    <w:rsid w:val="00554EEF"/>
    <w:rsid w:val="00555628"/>
    <w:rsid w:val="005564BE"/>
    <w:rsid w:val="0056060C"/>
    <w:rsid w:val="00562465"/>
    <w:rsid w:val="00562CE2"/>
    <w:rsid w:val="005703D4"/>
    <w:rsid w:val="005704A7"/>
    <w:rsid w:val="00570C3F"/>
    <w:rsid w:val="00571C8C"/>
    <w:rsid w:val="005751F2"/>
    <w:rsid w:val="0057534D"/>
    <w:rsid w:val="0057590D"/>
    <w:rsid w:val="00575A75"/>
    <w:rsid w:val="00581A74"/>
    <w:rsid w:val="00582464"/>
    <w:rsid w:val="00583B23"/>
    <w:rsid w:val="00584245"/>
    <w:rsid w:val="00585104"/>
    <w:rsid w:val="00585AF3"/>
    <w:rsid w:val="00586037"/>
    <w:rsid w:val="0058699C"/>
    <w:rsid w:val="00590213"/>
    <w:rsid w:val="005902CD"/>
    <w:rsid w:val="0059233B"/>
    <w:rsid w:val="005932D6"/>
    <w:rsid w:val="00593496"/>
    <w:rsid w:val="0059401A"/>
    <w:rsid w:val="00595980"/>
    <w:rsid w:val="00595EBD"/>
    <w:rsid w:val="00597353"/>
    <w:rsid w:val="005A0E61"/>
    <w:rsid w:val="005A5597"/>
    <w:rsid w:val="005A5D8C"/>
    <w:rsid w:val="005A6C98"/>
    <w:rsid w:val="005A71BB"/>
    <w:rsid w:val="005A75F9"/>
    <w:rsid w:val="005B347F"/>
    <w:rsid w:val="005B56C1"/>
    <w:rsid w:val="005B6BC8"/>
    <w:rsid w:val="005B73DD"/>
    <w:rsid w:val="005C0DC2"/>
    <w:rsid w:val="005C1187"/>
    <w:rsid w:val="005C1AB5"/>
    <w:rsid w:val="005C355D"/>
    <w:rsid w:val="005C6474"/>
    <w:rsid w:val="005D0C55"/>
    <w:rsid w:val="005D2BC8"/>
    <w:rsid w:val="005D323F"/>
    <w:rsid w:val="005D659A"/>
    <w:rsid w:val="005D7C93"/>
    <w:rsid w:val="005E1212"/>
    <w:rsid w:val="005E1B26"/>
    <w:rsid w:val="005F02F1"/>
    <w:rsid w:val="005F1A1E"/>
    <w:rsid w:val="005F1BFC"/>
    <w:rsid w:val="005F203E"/>
    <w:rsid w:val="005F3AD9"/>
    <w:rsid w:val="005F40C3"/>
    <w:rsid w:val="005F5281"/>
    <w:rsid w:val="0060067F"/>
    <w:rsid w:val="00605B84"/>
    <w:rsid w:val="00606DE1"/>
    <w:rsid w:val="0061126E"/>
    <w:rsid w:val="006142B8"/>
    <w:rsid w:val="00620D4A"/>
    <w:rsid w:val="00621796"/>
    <w:rsid w:val="00621EF9"/>
    <w:rsid w:val="006236EE"/>
    <w:rsid w:val="006267CE"/>
    <w:rsid w:val="00626E2C"/>
    <w:rsid w:val="006270A2"/>
    <w:rsid w:val="006310D5"/>
    <w:rsid w:val="00631EBB"/>
    <w:rsid w:val="00633502"/>
    <w:rsid w:val="0063383B"/>
    <w:rsid w:val="00633F27"/>
    <w:rsid w:val="006346C0"/>
    <w:rsid w:val="00635D34"/>
    <w:rsid w:val="006366AA"/>
    <w:rsid w:val="006366BB"/>
    <w:rsid w:val="00636836"/>
    <w:rsid w:val="0063758B"/>
    <w:rsid w:val="00643720"/>
    <w:rsid w:val="006456AF"/>
    <w:rsid w:val="00645B3F"/>
    <w:rsid w:val="00647454"/>
    <w:rsid w:val="00647497"/>
    <w:rsid w:val="00650D5D"/>
    <w:rsid w:val="00651486"/>
    <w:rsid w:val="0065163E"/>
    <w:rsid w:val="00651ED4"/>
    <w:rsid w:val="0065225F"/>
    <w:rsid w:val="00652FAD"/>
    <w:rsid w:val="0065593C"/>
    <w:rsid w:val="00656AB5"/>
    <w:rsid w:val="0065740A"/>
    <w:rsid w:val="0066082D"/>
    <w:rsid w:val="00666448"/>
    <w:rsid w:val="00670588"/>
    <w:rsid w:val="00671823"/>
    <w:rsid w:val="00672861"/>
    <w:rsid w:val="0067309B"/>
    <w:rsid w:val="00673725"/>
    <w:rsid w:val="00674339"/>
    <w:rsid w:val="00674EEF"/>
    <w:rsid w:val="00675B6A"/>
    <w:rsid w:val="0067609D"/>
    <w:rsid w:val="0067641F"/>
    <w:rsid w:val="0068493E"/>
    <w:rsid w:val="00687863"/>
    <w:rsid w:val="00691DBE"/>
    <w:rsid w:val="00692543"/>
    <w:rsid w:val="00692733"/>
    <w:rsid w:val="00692737"/>
    <w:rsid w:val="00692BD8"/>
    <w:rsid w:val="00697A0F"/>
    <w:rsid w:val="006A3240"/>
    <w:rsid w:val="006A3F36"/>
    <w:rsid w:val="006A473B"/>
    <w:rsid w:val="006A5280"/>
    <w:rsid w:val="006A60E2"/>
    <w:rsid w:val="006A652E"/>
    <w:rsid w:val="006A6B7D"/>
    <w:rsid w:val="006A79AB"/>
    <w:rsid w:val="006B0D81"/>
    <w:rsid w:val="006B19E7"/>
    <w:rsid w:val="006B3964"/>
    <w:rsid w:val="006B477D"/>
    <w:rsid w:val="006B4D83"/>
    <w:rsid w:val="006B4EF7"/>
    <w:rsid w:val="006B564D"/>
    <w:rsid w:val="006B6272"/>
    <w:rsid w:val="006B65BA"/>
    <w:rsid w:val="006B69B6"/>
    <w:rsid w:val="006C01BE"/>
    <w:rsid w:val="006C16AC"/>
    <w:rsid w:val="006C27CB"/>
    <w:rsid w:val="006C28D3"/>
    <w:rsid w:val="006C6E47"/>
    <w:rsid w:val="006C797C"/>
    <w:rsid w:val="006C7AE0"/>
    <w:rsid w:val="006D0B68"/>
    <w:rsid w:val="006D1805"/>
    <w:rsid w:val="006D55F8"/>
    <w:rsid w:val="006D59C3"/>
    <w:rsid w:val="006D7010"/>
    <w:rsid w:val="006E04E3"/>
    <w:rsid w:val="006E11CA"/>
    <w:rsid w:val="006E791D"/>
    <w:rsid w:val="006F0AF8"/>
    <w:rsid w:val="006F144D"/>
    <w:rsid w:val="006F24CB"/>
    <w:rsid w:val="006F2F47"/>
    <w:rsid w:val="006F316F"/>
    <w:rsid w:val="006F44A9"/>
    <w:rsid w:val="006F7E83"/>
    <w:rsid w:val="006F7E87"/>
    <w:rsid w:val="00701000"/>
    <w:rsid w:val="00701661"/>
    <w:rsid w:val="007019D6"/>
    <w:rsid w:val="00705D71"/>
    <w:rsid w:val="007064A9"/>
    <w:rsid w:val="00707089"/>
    <w:rsid w:val="0070793B"/>
    <w:rsid w:val="0071235B"/>
    <w:rsid w:val="00714B0F"/>
    <w:rsid w:val="00714E6B"/>
    <w:rsid w:val="00715F02"/>
    <w:rsid w:val="0072019C"/>
    <w:rsid w:val="007204C5"/>
    <w:rsid w:val="00720CF6"/>
    <w:rsid w:val="007215F7"/>
    <w:rsid w:val="00721E7D"/>
    <w:rsid w:val="00722BA8"/>
    <w:rsid w:val="00723BEA"/>
    <w:rsid w:val="00723C08"/>
    <w:rsid w:val="007240B4"/>
    <w:rsid w:val="0072650D"/>
    <w:rsid w:val="00726A6F"/>
    <w:rsid w:val="00726FF5"/>
    <w:rsid w:val="0073022D"/>
    <w:rsid w:val="00733041"/>
    <w:rsid w:val="0073481E"/>
    <w:rsid w:val="0073492B"/>
    <w:rsid w:val="0074152C"/>
    <w:rsid w:val="00742BAD"/>
    <w:rsid w:val="007435A3"/>
    <w:rsid w:val="00744D59"/>
    <w:rsid w:val="00744DAD"/>
    <w:rsid w:val="00745105"/>
    <w:rsid w:val="00745D86"/>
    <w:rsid w:val="00745F58"/>
    <w:rsid w:val="0074713E"/>
    <w:rsid w:val="00747AF6"/>
    <w:rsid w:val="00751D24"/>
    <w:rsid w:val="007520DB"/>
    <w:rsid w:val="007534FD"/>
    <w:rsid w:val="00754023"/>
    <w:rsid w:val="00754814"/>
    <w:rsid w:val="00754962"/>
    <w:rsid w:val="0075567E"/>
    <w:rsid w:val="007574AD"/>
    <w:rsid w:val="00757BCE"/>
    <w:rsid w:val="007601F3"/>
    <w:rsid w:val="00761FA9"/>
    <w:rsid w:val="00765B5E"/>
    <w:rsid w:val="00766595"/>
    <w:rsid w:val="007672DD"/>
    <w:rsid w:val="007674C6"/>
    <w:rsid w:val="0076771E"/>
    <w:rsid w:val="00767A6E"/>
    <w:rsid w:val="00770170"/>
    <w:rsid w:val="0077287A"/>
    <w:rsid w:val="00775AD7"/>
    <w:rsid w:val="00777319"/>
    <w:rsid w:val="007775F7"/>
    <w:rsid w:val="0077798A"/>
    <w:rsid w:val="00777BF8"/>
    <w:rsid w:val="00780C3C"/>
    <w:rsid w:val="00783C7F"/>
    <w:rsid w:val="00784DF8"/>
    <w:rsid w:val="00787BA6"/>
    <w:rsid w:val="007904FC"/>
    <w:rsid w:val="007929FD"/>
    <w:rsid w:val="007934A3"/>
    <w:rsid w:val="00796A12"/>
    <w:rsid w:val="00797E01"/>
    <w:rsid w:val="00797F90"/>
    <w:rsid w:val="007A2B4A"/>
    <w:rsid w:val="007A2C8B"/>
    <w:rsid w:val="007A34AE"/>
    <w:rsid w:val="007A3C40"/>
    <w:rsid w:val="007A54EB"/>
    <w:rsid w:val="007B2CE3"/>
    <w:rsid w:val="007B3D4F"/>
    <w:rsid w:val="007B3FF6"/>
    <w:rsid w:val="007B4516"/>
    <w:rsid w:val="007B5BEE"/>
    <w:rsid w:val="007B5F39"/>
    <w:rsid w:val="007B7784"/>
    <w:rsid w:val="007C2F0B"/>
    <w:rsid w:val="007C41A4"/>
    <w:rsid w:val="007C7168"/>
    <w:rsid w:val="007C720A"/>
    <w:rsid w:val="007D07A0"/>
    <w:rsid w:val="007D3B7C"/>
    <w:rsid w:val="007D7318"/>
    <w:rsid w:val="007D7E0B"/>
    <w:rsid w:val="007E163B"/>
    <w:rsid w:val="007E257E"/>
    <w:rsid w:val="007E3EBE"/>
    <w:rsid w:val="007E4F06"/>
    <w:rsid w:val="007E5AB5"/>
    <w:rsid w:val="007E5B2A"/>
    <w:rsid w:val="007E70C0"/>
    <w:rsid w:val="007F0C10"/>
    <w:rsid w:val="007F2CAF"/>
    <w:rsid w:val="007F5CB7"/>
    <w:rsid w:val="007F78EE"/>
    <w:rsid w:val="008004AD"/>
    <w:rsid w:val="00800A00"/>
    <w:rsid w:val="008018F3"/>
    <w:rsid w:val="0080235F"/>
    <w:rsid w:val="008032DF"/>
    <w:rsid w:val="008048CE"/>
    <w:rsid w:val="00804ACD"/>
    <w:rsid w:val="008059D9"/>
    <w:rsid w:val="00805C85"/>
    <w:rsid w:val="00806AB1"/>
    <w:rsid w:val="00811DF3"/>
    <w:rsid w:val="00812F40"/>
    <w:rsid w:val="00814F66"/>
    <w:rsid w:val="008161DC"/>
    <w:rsid w:val="0081632A"/>
    <w:rsid w:val="008164FA"/>
    <w:rsid w:val="0081768E"/>
    <w:rsid w:val="008209B8"/>
    <w:rsid w:val="00820CE0"/>
    <w:rsid w:val="00822168"/>
    <w:rsid w:val="00823C54"/>
    <w:rsid w:val="00823F54"/>
    <w:rsid w:val="00830014"/>
    <w:rsid w:val="00830647"/>
    <w:rsid w:val="0083132A"/>
    <w:rsid w:val="00836D2B"/>
    <w:rsid w:val="0084042D"/>
    <w:rsid w:val="00840C85"/>
    <w:rsid w:val="00842C50"/>
    <w:rsid w:val="00842F1F"/>
    <w:rsid w:val="0084591F"/>
    <w:rsid w:val="00845939"/>
    <w:rsid w:val="008469BA"/>
    <w:rsid w:val="00846FEB"/>
    <w:rsid w:val="0084724C"/>
    <w:rsid w:val="008536FF"/>
    <w:rsid w:val="0085375C"/>
    <w:rsid w:val="0085379C"/>
    <w:rsid w:val="00853E68"/>
    <w:rsid w:val="00856D4A"/>
    <w:rsid w:val="008610D3"/>
    <w:rsid w:val="00862427"/>
    <w:rsid w:val="00863A22"/>
    <w:rsid w:val="00864F87"/>
    <w:rsid w:val="008652C9"/>
    <w:rsid w:val="00866346"/>
    <w:rsid w:val="00866A29"/>
    <w:rsid w:val="00867C1F"/>
    <w:rsid w:val="00872A3E"/>
    <w:rsid w:val="008734B0"/>
    <w:rsid w:val="00874327"/>
    <w:rsid w:val="00874648"/>
    <w:rsid w:val="00876F0E"/>
    <w:rsid w:val="00882009"/>
    <w:rsid w:val="00883C94"/>
    <w:rsid w:val="008856A6"/>
    <w:rsid w:val="008870ED"/>
    <w:rsid w:val="008926A4"/>
    <w:rsid w:val="00892B27"/>
    <w:rsid w:val="00892C09"/>
    <w:rsid w:val="008934CD"/>
    <w:rsid w:val="0089526B"/>
    <w:rsid w:val="00895D95"/>
    <w:rsid w:val="00896F2D"/>
    <w:rsid w:val="008977C4"/>
    <w:rsid w:val="008A14CF"/>
    <w:rsid w:val="008A160E"/>
    <w:rsid w:val="008A527C"/>
    <w:rsid w:val="008A5C4C"/>
    <w:rsid w:val="008A62EB"/>
    <w:rsid w:val="008B098F"/>
    <w:rsid w:val="008B1E2E"/>
    <w:rsid w:val="008B655D"/>
    <w:rsid w:val="008C0A70"/>
    <w:rsid w:val="008C0DA4"/>
    <w:rsid w:val="008C23AF"/>
    <w:rsid w:val="008C2A76"/>
    <w:rsid w:val="008C2ECC"/>
    <w:rsid w:val="008C6D47"/>
    <w:rsid w:val="008C70E2"/>
    <w:rsid w:val="008C791E"/>
    <w:rsid w:val="008D039C"/>
    <w:rsid w:val="008D4DB1"/>
    <w:rsid w:val="008D4F08"/>
    <w:rsid w:val="008D706B"/>
    <w:rsid w:val="008D777E"/>
    <w:rsid w:val="008E077D"/>
    <w:rsid w:val="008E0E10"/>
    <w:rsid w:val="008E1AF5"/>
    <w:rsid w:val="008E26CD"/>
    <w:rsid w:val="008E29F0"/>
    <w:rsid w:val="008E42B5"/>
    <w:rsid w:val="008E781C"/>
    <w:rsid w:val="008F16EA"/>
    <w:rsid w:val="008F2625"/>
    <w:rsid w:val="008F322E"/>
    <w:rsid w:val="008F49D4"/>
    <w:rsid w:val="008F4A3A"/>
    <w:rsid w:val="008F4D08"/>
    <w:rsid w:val="008F7927"/>
    <w:rsid w:val="008F7E47"/>
    <w:rsid w:val="00900294"/>
    <w:rsid w:val="00900AC7"/>
    <w:rsid w:val="00902165"/>
    <w:rsid w:val="009048D7"/>
    <w:rsid w:val="00904C4F"/>
    <w:rsid w:val="00905466"/>
    <w:rsid w:val="009067EC"/>
    <w:rsid w:val="00907A4D"/>
    <w:rsid w:val="00907F4D"/>
    <w:rsid w:val="009126DF"/>
    <w:rsid w:val="00912B05"/>
    <w:rsid w:val="00912C18"/>
    <w:rsid w:val="00915057"/>
    <w:rsid w:val="00920899"/>
    <w:rsid w:val="009226EF"/>
    <w:rsid w:val="009228F4"/>
    <w:rsid w:val="00923847"/>
    <w:rsid w:val="009245F7"/>
    <w:rsid w:val="009254D1"/>
    <w:rsid w:val="00927EAB"/>
    <w:rsid w:val="00930196"/>
    <w:rsid w:val="00930648"/>
    <w:rsid w:val="009325AE"/>
    <w:rsid w:val="00932DE6"/>
    <w:rsid w:val="00932FAD"/>
    <w:rsid w:val="00933156"/>
    <w:rsid w:val="0094036C"/>
    <w:rsid w:val="00941EB7"/>
    <w:rsid w:val="00942BFD"/>
    <w:rsid w:val="00942CA0"/>
    <w:rsid w:val="00942F90"/>
    <w:rsid w:val="0094352E"/>
    <w:rsid w:val="0094689A"/>
    <w:rsid w:val="00946F3F"/>
    <w:rsid w:val="00947731"/>
    <w:rsid w:val="00951135"/>
    <w:rsid w:val="0095120B"/>
    <w:rsid w:val="00951D14"/>
    <w:rsid w:val="00952B07"/>
    <w:rsid w:val="009540C7"/>
    <w:rsid w:val="00955CA2"/>
    <w:rsid w:val="009568A1"/>
    <w:rsid w:val="009574F7"/>
    <w:rsid w:val="0096029C"/>
    <w:rsid w:val="009606BC"/>
    <w:rsid w:val="009607E7"/>
    <w:rsid w:val="0096092B"/>
    <w:rsid w:val="00960D8D"/>
    <w:rsid w:val="00962E52"/>
    <w:rsid w:val="00963AC9"/>
    <w:rsid w:val="0096455D"/>
    <w:rsid w:val="00965B73"/>
    <w:rsid w:val="0096714F"/>
    <w:rsid w:val="00970E13"/>
    <w:rsid w:val="00971ED0"/>
    <w:rsid w:val="00972215"/>
    <w:rsid w:val="00975475"/>
    <w:rsid w:val="00975581"/>
    <w:rsid w:val="009758B0"/>
    <w:rsid w:val="00975ED9"/>
    <w:rsid w:val="00976C53"/>
    <w:rsid w:val="00980AA8"/>
    <w:rsid w:val="00981DA5"/>
    <w:rsid w:val="009838A0"/>
    <w:rsid w:val="00986329"/>
    <w:rsid w:val="00986FD4"/>
    <w:rsid w:val="0098706D"/>
    <w:rsid w:val="00993F70"/>
    <w:rsid w:val="0099437D"/>
    <w:rsid w:val="00996D7F"/>
    <w:rsid w:val="00997EA6"/>
    <w:rsid w:val="009A1653"/>
    <w:rsid w:val="009A36DE"/>
    <w:rsid w:val="009A4E73"/>
    <w:rsid w:val="009A50C6"/>
    <w:rsid w:val="009A68D8"/>
    <w:rsid w:val="009A68E8"/>
    <w:rsid w:val="009A779A"/>
    <w:rsid w:val="009B1541"/>
    <w:rsid w:val="009B2E61"/>
    <w:rsid w:val="009B39BB"/>
    <w:rsid w:val="009B3BF5"/>
    <w:rsid w:val="009B5201"/>
    <w:rsid w:val="009B6064"/>
    <w:rsid w:val="009C32C5"/>
    <w:rsid w:val="009C4BD1"/>
    <w:rsid w:val="009C6285"/>
    <w:rsid w:val="009D14EC"/>
    <w:rsid w:val="009D56F5"/>
    <w:rsid w:val="009D5C8A"/>
    <w:rsid w:val="009D6796"/>
    <w:rsid w:val="009D7111"/>
    <w:rsid w:val="009E0048"/>
    <w:rsid w:val="009E03E0"/>
    <w:rsid w:val="009E048A"/>
    <w:rsid w:val="009E07FB"/>
    <w:rsid w:val="009E0C52"/>
    <w:rsid w:val="009E1DA3"/>
    <w:rsid w:val="009E2A58"/>
    <w:rsid w:val="009E66F2"/>
    <w:rsid w:val="009E6A2B"/>
    <w:rsid w:val="009E7B94"/>
    <w:rsid w:val="009E7BB3"/>
    <w:rsid w:val="009F46C2"/>
    <w:rsid w:val="009F4BC9"/>
    <w:rsid w:val="009F60BC"/>
    <w:rsid w:val="009F699B"/>
    <w:rsid w:val="009F7E20"/>
    <w:rsid w:val="00A014A7"/>
    <w:rsid w:val="00A024D3"/>
    <w:rsid w:val="00A04B0D"/>
    <w:rsid w:val="00A051F2"/>
    <w:rsid w:val="00A0777B"/>
    <w:rsid w:val="00A1093C"/>
    <w:rsid w:val="00A10AFE"/>
    <w:rsid w:val="00A11629"/>
    <w:rsid w:val="00A1181E"/>
    <w:rsid w:val="00A128F9"/>
    <w:rsid w:val="00A12C29"/>
    <w:rsid w:val="00A13B1A"/>
    <w:rsid w:val="00A13B79"/>
    <w:rsid w:val="00A151C3"/>
    <w:rsid w:val="00A16B84"/>
    <w:rsid w:val="00A22461"/>
    <w:rsid w:val="00A226AD"/>
    <w:rsid w:val="00A227EE"/>
    <w:rsid w:val="00A230CB"/>
    <w:rsid w:val="00A258B4"/>
    <w:rsid w:val="00A25FF8"/>
    <w:rsid w:val="00A264A3"/>
    <w:rsid w:val="00A313C4"/>
    <w:rsid w:val="00A31FC2"/>
    <w:rsid w:val="00A3211D"/>
    <w:rsid w:val="00A32DE2"/>
    <w:rsid w:val="00A346F6"/>
    <w:rsid w:val="00A34ABE"/>
    <w:rsid w:val="00A36407"/>
    <w:rsid w:val="00A36BDB"/>
    <w:rsid w:val="00A37774"/>
    <w:rsid w:val="00A37F46"/>
    <w:rsid w:val="00A41BB6"/>
    <w:rsid w:val="00A41ECE"/>
    <w:rsid w:val="00A42029"/>
    <w:rsid w:val="00A44B96"/>
    <w:rsid w:val="00A508E6"/>
    <w:rsid w:val="00A50C94"/>
    <w:rsid w:val="00A514D4"/>
    <w:rsid w:val="00A51610"/>
    <w:rsid w:val="00A531B1"/>
    <w:rsid w:val="00A537AB"/>
    <w:rsid w:val="00A53C17"/>
    <w:rsid w:val="00A54E70"/>
    <w:rsid w:val="00A55CC1"/>
    <w:rsid w:val="00A55EB2"/>
    <w:rsid w:val="00A568F6"/>
    <w:rsid w:val="00A57A4A"/>
    <w:rsid w:val="00A612C7"/>
    <w:rsid w:val="00A614C5"/>
    <w:rsid w:val="00A6190B"/>
    <w:rsid w:val="00A63514"/>
    <w:rsid w:val="00A64981"/>
    <w:rsid w:val="00A64F79"/>
    <w:rsid w:val="00A6698C"/>
    <w:rsid w:val="00A66B40"/>
    <w:rsid w:val="00A76128"/>
    <w:rsid w:val="00A76161"/>
    <w:rsid w:val="00A76983"/>
    <w:rsid w:val="00A80347"/>
    <w:rsid w:val="00A80986"/>
    <w:rsid w:val="00A80D3C"/>
    <w:rsid w:val="00A81A76"/>
    <w:rsid w:val="00A82AAF"/>
    <w:rsid w:val="00A86E35"/>
    <w:rsid w:val="00A9073E"/>
    <w:rsid w:val="00A96F52"/>
    <w:rsid w:val="00A97584"/>
    <w:rsid w:val="00AA0E59"/>
    <w:rsid w:val="00AA13B9"/>
    <w:rsid w:val="00AA1CF0"/>
    <w:rsid w:val="00AA2C52"/>
    <w:rsid w:val="00AA42E9"/>
    <w:rsid w:val="00AA7CEF"/>
    <w:rsid w:val="00AB0DA2"/>
    <w:rsid w:val="00AB1C99"/>
    <w:rsid w:val="00AB320D"/>
    <w:rsid w:val="00AC2B0D"/>
    <w:rsid w:val="00AC2EEB"/>
    <w:rsid w:val="00AC3C33"/>
    <w:rsid w:val="00AC3C9C"/>
    <w:rsid w:val="00AC3CBF"/>
    <w:rsid w:val="00AC46BF"/>
    <w:rsid w:val="00AC545F"/>
    <w:rsid w:val="00AC6858"/>
    <w:rsid w:val="00AC722B"/>
    <w:rsid w:val="00AD1307"/>
    <w:rsid w:val="00AD14E2"/>
    <w:rsid w:val="00AD1545"/>
    <w:rsid w:val="00AD16FD"/>
    <w:rsid w:val="00AD1D11"/>
    <w:rsid w:val="00AD28F1"/>
    <w:rsid w:val="00AD4170"/>
    <w:rsid w:val="00AD532F"/>
    <w:rsid w:val="00AD6E39"/>
    <w:rsid w:val="00AE1E9C"/>
    <w:rsid w:val="00AE202C"/>
    <w:rsid w:val="00AE537B"/>
    <w:rsid w:val="00AE599B"/>
    <w:rsid w:val="00AF02F8"/>
    <w:rsid w:val="00AF04C0"/>
    <w:rsid w:val="00AF0A2D"/>
    <w:rsid w:val="00AF112F"/>
    <w:rsid w:val="00AF1C44"/>
    <w:rsid w:val="00AF2C41"/>
    <w:rsid w:val="00AF56EC"/>
    <w:rsid w:val="00AF6777"/>
    <w:rsid w:val="00AF7017"/>
    <w:rsid w:val="00AF7BE3"/>
    <w:rsid w:val="00AF7E7B"/>
    <w:rsid w:val="00B00A13"/>
    <w:rsid w:val="00B02F25"/>
    <w:rsid w:val="00B03C8C"/>
    <w:rsid w:val="00B03EC3"/>
    <w:rsid w:val="00B04193"/>
    <w:rsid w:val="00B04357"/>
    <w:rsid w:val="00B06CDB"/>
    <w:rsid w:val="00B073A6"/>
    <w:rsid w:val="00B07464"/>
    <w:rsid w:val="00B11AB6"/>
    <w:rsid w:val="00B11CF9"/>
    <w:rsid w:val="00B12297"/>
    <w:rsid w:val="00B12401"/>
    <w:rsid w:val="00B130C3"/>
    <w:rsid w:val="00B13559"/>
    <w:rsid w:val="00B149AC"/>
    <w:rsid w:val="00B20812"/>
    <w:rsid w:val="00B20A57"/>
    <w:rsid w:val="00B218DF"/>
    <w:rsid w:val="00B22443"/>
    <w:rsid w:val="00B2283B"/>
    <w:rsid w:val="00B2373D"/>
    <w:rsid w:val="00B25A64"/>
    <w:rsid w:val="00B27DFD"/>
    <w:rsid w:val="00B3113F"/>
    <w:rsid w:val="00B311A7"/>
    <w:rsid w:val="00B32AEA"/>
    <w:rsid w:val="00B32D78"/>
    <w:rsid w:val="00B33B9B"/>
    <w:rsid w:val="00B35152"/>
    <w:rsid w:val="00B3638E"/>
    <w:rsid w:val="00B37F66"/>
    <w:rsid w:val="00B403EE"/>
    <w:rsid w:val="00B421E9"/>
    <w:rsid w:val="00B46828"/>
    <w:rsid w:val="00B55CB2"/>
    <w:rsid w:val="00B611C9"/>
    <w:rsid w:val="00B617C2"/>
    <w:rsid w:val="00B621E5"/>
    <w:rsid w:val="00B65D4C"/>
    <w:rsid w:val="00B66A48"/>
    <w:rsid w:val="00B66AC7"/>
    <w:rsid w:val="00B67080"/>
    <w:rsid w:val="00B679CE"/>
    <w:rsid w:val="00B708FD"/>
    <w:rsid w:val="00B71B43"/>
    <w:rsid w:val="00B71DD4"/>
    <w:rsid w:val="00B720CE"/>
    <w:rsid w:val="00B86EF7"/>
    <w:rsid w:val="00B9081B"/>
    <w:rsid w:val="00B90FCB"/>
    <w:rsid w:val="00B92119"/>
    <w:rsid w:val="00B92B66"/>
    <w:rsid w:val="00B94A6B"/>
    <w:rsid w:val="00B94B76"/>
    <w:rsid w:val="00B96096"/>
    <w:rsid w:val="00B96414"/>
    <w:rsid w:val="00BA0AFE"/>
    <w:rsid w:val="00BA11CB"/>
    <w:rsid w:val="00BA27B5"/>
    <w:rsid w:val="00BA32A6"/>
    <w:rsid w:val="00BA711E"/>
    <w:rsid w:val="00BA747F"/>
    <w:rsid w:val="00BB0542"/>
    <w:rsid w:val="00BB1B12"/>
    <w:rsid w:val="00BB28C5"/>
    <w:rsid w:val="00BB47C3"/>
    <w:rsid w:val="00BB4EC4"/>
    <w:rsid w:val="00BB5171"/>
    <w:rsid w:val="00BB5608"/>
    <w:rsid w:val="00BB6838"/>
    <w:rsid w:val="00BB78FE"/>
    <w:rsid w:val="00BC093D"/>
    <w:rsid w:val="00BC217A"/>
    <w:rsid w:val="00BC4763"/>
    <w:rsid w:val="00BC4874"/>
    <w:rsid w:val="00BC563C"/>
    <w:rsid w:val="00BC603D"/>
    <w:rsid w:val="00BC6642"/>
    <w:rsid w:val="00BC7C1F"/>
    <w:rsid w:val="00BD0EDE"/>
    <w:rsid w:val="00BD23BF"/>
    <w:rsid w:val="00BD262D"/>
    <w:rsid w:val="00BD2FFE"/>
    <w:rsid w:val="00BD37FA"/>
    <w:rsid w:val="00BD3D80"/>
    <w:rsid w:val="00BD4827"/>
    <w:rsid w:val="00BD6935"/>
    <w:rsid w:val="00BE09A5"/>
    <w:rsid w:val="00BE1940"/>
    <w:rsid w:val="00BE67EB"/>
    <w:rsid w:val="00BE6B06"/>
    <w:rsid w:val="00BE73BA"/>
    <w:rsid w:val="00BF08BC"/>
    <w:rsid w:val="00BF4128"/>
    <w:rsid w:val="00BF4194"/>
    <w:rsid w:val="00BF67D3"/>
    <w:rsid w:val="00BF6AD5"/>
    <w:rsid w:val="00BF7479"/>
    <w:rsid w:val="00BF7AB1"/>
    <w:rsid w:val="00C00463"/>
    <w:rsid w:val="00C01740"/>
    <w:rsid w:val="00C02CFA"/>
    <w:rsid w:val="00C038B1"/>
    <w:rsid w:val="00C03A9A"/>
    <w:rsid w:val="00C05E82"/>
    <w:rsid w:val="00C066BE"/>
    <w:rsid w:val="00C073E7"/>
    <w:rsid w:val="00C079B4"/>
    <w:rsid w:val="00C10EB7"/>
    <w:rsid w:val="00C1159D"/>
    <w:rsid w:val="00C146E9"/>
    <w:rsid w:val="00C156F2"/>
    <w:rsid w:val="00C1767B"/>
    <w:rsid w:val="00C17F4B"/>
    <w:rsid w:val="00C20521"/>
    <w:rsid w:val="00C220EE"/>
    <w:rsid w:val="00C22B2E"/>
    <w:rsid w:val="00C23794"/>
    <w:rsid w:val="00C2485A"/>
    <w:rsid w:val="00C2565F"/>
    <w:rsid w:val="00C25C82"/>
    <w:rsid w:val="00C25F82"/>
    <w:rsid w:val="00C25FAB"/>
    <w:rsid w:val="00C2790E"/>
    <w:rsid w:val="00C27AC6"/>
    <w:rsid w:val="00C27B73"/>
    <w:rsid w:val="00C32824"/>
    <w:rsid w:val="00C32A8F"/>
    <w:rsid w:val="00C34009"/>
    <w:rsid w:val="00C37C23"/>
    <w:rsid w:val="00C40884"/>
    <w:rsid w:val="00C41E5F"/>
    <w:rsid w:val="00C42CE9"/>
    <w:rsid w:val="00C42DE9"/>
    <w:rsid w:val="00C44BF2"/>
    <w:rsid w:val="00C47097"/>
    <w:rsid w:val="00C473E3"/>
    <w:rsid w:val="00C4778D"/>
    <w:rsid w:val="00C47AE1"/>
    <w:rsid w:val="00C506F8"/>
    <w:rsid w:val="00C52C60"/>
    <w:rsid w:val="00C54248"/>
    <w:rsid w:val="00C5467E"/>
    <w:rsid w:val="00C6375F"/>
    <w:rsid w:val="00C647AD"/>
    <w:rsid w:val="00C65BC7"/>
    <w:rsid w:val="00C661A7"/>
    <w:rsid w:val="00C6626F"/>
    <w:rsid w:val="00C70903"/>
    <w:rsid w:val="00C7234E"/>
    <w:rsid w:val="00C733F9"/>
    <w:rsid w:val="00C776D2"/>
    <w:rsid w:val="00C80277"/>
    <w:rsid w:val="00C80E05"/>
    <w:rsid w:val="00C81FCD"/>
    <w:rsid w:val="00C82496"/>
    <w:rsid w:val="00C830E3"/>
    <w:rsid w:val="00C83102"/>
    <w:rsid w:val="00C84018"/>
    <w:rsid w:val="00C84D0C"/>
    <w:rsid w:val="00C8655F"/>
    <w:rsid w:val="00C86FCB"/>
    <w:rsid w:val="00C87793"/>
    <w:rsid w:val="00C90639"/>
    <w:rsid w:val="00C9090F"/>
    <w:rsid w:val="00C90D0E"/>
    <w:rsid w:val="00CA0DB7"/>
    <w:rsid w:val="00CA28F0"/>
    <w:rsid w:val="00CA2AAF"/>
    <w:rsid w:val="00CA4E28"/>
    <w:rsid w:val="00CA56FD"/>
    <w:rsid w:val="00CA5C0F"/>
    <w:rsid w:val="00CA702D"/>
    <w:rsid w:val="00CB1077"/>
    <w:rsid w:val="00CB2BE9"/>
    <w:rsid w:val="00CB38FD"/>
    <w:rsid w:val="00CB4024"/>
    <w:rsid w:val="00CB4418"/>
    <w:rsid w:val="00CB49BE"/>
    <w:rsid w:val="00CB569F"/>
    <w:rsid w:val="00CB5B5F"/>
    <w:rsid w:val="00CB72F5"/>
    <w:rsid w:val="00CB77FC"/>
    <w:rsid w:val="00CC15CC"/>
    <w:rsid w:val="00CC1BA4"/>
    <w:rsid w:val="00CC3B63"/>
    <w:rsid w:val="00CC4200"/>
    <w:rsid w:val="00CC5734"/>
    <w:rsid w:val="00CC6B63"/>
    <w:rsid w:val="00CC6BF8"/>
    <w:rsid w:val="00CC6F23"/>
    <w:rsid w:val="00CD1016"/>
    <w:rsid w:val="00CD1C45"/>
    <w:rsid w:val="00CD2693"/>
    <w:rsid w:val="00CD2B2B"/>
    <w:rsid w:val="00CD3A63"/>
    <w:rsid w:val="00CD3B66"/>
    <w:rsid w:val="00CD42AD"/>
    <w:rsid w:val="00CD48FB"/>
    <w:rsid w:val="00CD5F1A"/>
    <w:rsid w:val="00CD5FE7"/>
    <w:rsid w:val="00CD6057"/>
    <w:rsid w:val="00CD752C"/>
    <w:rsid w:val="00CE2A8D"/>
    <w:rsid w:val="00CE4D76"/>
    <w:rsid w:val="00CF0E34"/>
    <w:rsid w:val="00CF15F5"/>
    <w:rsid w:val="00CF2AB3"/>
    <w:rsid w:val="00CF2B55"/>
    <w:rsid w:val="00CF2C04"/>
    <w:rsid w:val="00CF30FD"/>
    <w:rsid w:val="00CF3B11"/>
    <w:rsid w:val="00CF6F46"/>
    <w:rsid w:val="00CF77B6"/>
    <w:rsid w:val="00CF7C47"/>
    <w:rsid w:val="00D01E04"/>
    <w:rsid w:val="00D02780"/>
    <w:rsid w:val="00D07042"/>
    <w:rsid w:val="00D116C7"/>
    <w:rsid w:val="00D11B88"/>
    <w:rsid w:val="00D223E8"/>
    <w:rsid w:val="00D22563"/>
    <w:rsid w:val="00D2260E"/>
    <w:rsid w:val="00D252D9"/>
    <w:rsid w:val="00D274FC"/>
    <w:rsid w:val="00D34C81"/>
    <w:rsid w:val="00D358E8"/>
    <w:rsid w:val="00D36ADD"/>
    <w:rsid w:val="00D408BB"/>
    <w:rsid w:val="00D42C55"/>
    <w:rsid w:val="00D44059"/>
    <w:rsid w:val="00D45E15"/>
    <w:rsid w:val="00D47004"/>
    <w:rsid w:val="00D47179"/>
    <w:rsid w:val="00D47D3E"/>
    <w:rsid w:val="00D52096"/>
    <w:rsid w:val="00D52502"/>
    <w:rsid w:val="00D546E6"/>
    <w:rsid w:val="00D5489C"/>
    <w:rsid w:val="00D56024"/>
    <w:rsid w:val="00D61327"/>
    <w:rsid w:val="00D63487"/>
    <w:rsid w:val="00D63C70"/>
    <w:rsid w:val="00D65278"/>
    <w:rsid w:val="00D66D45"/>
    <w:rsid w:val="00D670E1"/>
    <w:rsid w:val="00D67F90"/>
    <w:rsid w:val="00D70483"/>
    <w:rsid w:val="00D70D5D"/>
    <w:rsid w:val="00D71726"/>
    <w:rsid w:val="00D71916"/>
    <w:rsid w:val="00D71DF6"/>
    <w:rsid w:val="00D739B9"/>
    <w:rsid w:val="00D73BFB"/>
    <w:rsid w:val="00D769D9"/>
    <w:rsid w:val="00D772C5"/>
    <w:rsid w:val="00D7792C"/>
    <w:rsid w:val="00D8191F"/>
    <w:rsid w:val="00D81A20"/>
    <w:rsid w:val="00D83A13"/>
    <w:rsid w:val="00D8527E"/>
    <w:rsid w:val="00D91F6D"/>
    <w:rsid w:val="00D93269"/>
    <w:rsid w:val="00D93D1D"/>
    <w:rsid w:val="00D947C9"/>
    <w:rsid w:val="00DA1674"/>
    <w:rsid w:val="00DA2D2F"/>
    <w:rsid w:val="00DA3479"/>
    <w:rsid w:val="00DA35B8"/>
    <w:rsid w:val="00DA3C29"/>
    <w:rsid w:val="00DA3F1C"/>
    <w:rsid w:val="00DA4644"/>
    <w:rsid w:val="00DA5868"/>
    <w:rsid w:val="00DA61A4"/>
    <w:rsid w:val="00DA6260"/>
    <w:rsid w:val="00DA62EB"/>
    <w:rsid w:val="00DA7C04"/>
    <w:rsid w:val="00DA7E10"/>
    <w:rsid w:val="00DA7F9D"/>
    <w:rsid w:val="00DB131B"/>
    <w:rsid w:val="00DB2E10"/>
    <w:rsid w:val="00DB6FB0"/>
    <w:rsid w:val="00DB70A1"/>
    <w:rsid w:val="00DC3CD9"/>
    <w:rsid w:val="00DC473D"/>
    <w:rsid w:val="00DC51FB"/>
    <w:rsid w:val="00DC70EC"/>
    <w:rsid w:val="00DC7779"/>
    <w:rsid w:val="00DC7ED0"/>
    <w:rsid w:val="00DD1277"/>
    <w:rsid w:val="00DD36DA"/>
    <w:rsid w:val="00DD36F6"/>
    <w:rsid w:val="00DD401E"/>
    <w:rsid w:val="00DD4E2B"/>
    <w:rsid w:val="00DD4F1F"/>
    <w:rsid w:val="00DD615B"/>
    <w:rsid w:val="00DD6E8E"/>
    <w:rsid w:val="00DD6FA2"/>
    <w:rsid w:val="00DD7739"/>
    <w:rsid w:val="00DE01BC"/>
    <w:rsid w:val="00DE12C5"/>
    <w:rsid w:val="00DE1BC9"/>
    <w:rsid w:val="00DE282D"/>
    <w:rsid w:val="00DE3310"/>
    <w:rsid w:val="00DE332F"/>
    <w:rsid w:val="00DE55C5"/>
    <w:rsid w:val="00DE6F24"/>
    <w:rsid w:val="00DE7852"/>
    <w:rsid w:val="00DE7A45"/>
    <w:rsid w:val="00DF1145"/>
    <w:rsid w:val="00DF338A"/>
    <w:rsid w:val="00DF368C"/>
    <w:rsid w:val="00DF373E"/>
    <w:rsid w:val="00DF6F85"/>
    <w:rsid w:val="00E03997"/>
    <w:rsid w:val="00E041B2"/>
    <w:rsid w:val="00E04592"/>
    <w:rsid w:val="00E060CA"/>
    <w:rsid w:val="00E10938"/>
    <w:rsid w:val="00E11F31"/>
    <w:rsid w:val="00E12773"/>
    <w:rsid w:val="00E13592"/>
    <w:rsid w:val="00E14AF7"/>
    <w:rsid w:val="00E15E03"/>
    <w:rsid w:val="00E16282"/>
    <w:rsid w:val="00E16D87"/>
    <w:rsid w:val="00E205DC"/>
    <w:rsid w:val="00E20681"/>
    <w:rsid w:val="00E211DD"/>
    <w:rsid w:val="00E22862"/>
    <w:rsid w:val="00E22CC1"/>
    <w:rsid w:val="00E237C2"/>
    <w:rsid w:val="00E240EE"/>
    <w:rsid w:val="00E242B3"/>
    <w:rsid w:val="00E2568D"/>
    <w:rsid w:val="00E25ACA"/>
    <w:rsid w:val="00E26466"/>
    <w:rsid w:val="00E31527"/>
    <w:rsid w:val="00E332BD"/>
    <w:rsid w:val="00E34475"/>
    <w:rsid w:val="00E34BD0"/>
    <w:rsid w:val="00E35348"/>
    <w:rsid w:val="00E35649"/>
    <w:rsid w:val="00E41537"/>
    <w:rsid w:val="00E4398B"/>
    <w:rsid w:val="00E43F4A"/>
    <w:rsid w:val="00E4486C"/>
    <w:rsid w:val="00E45426"/>
    <w:rsid w:val="00E47D48"/>
    <w:rsid w:val="00E50C7A"/>
    <w:rsid w:val="00E50EFD"/>
    <w:rsid w:val="00E50F5F"/>
    <w:rsid w:val="00E54E32"/>
    <w:rsid w:val="00E5759E"/>
    <w:rsid w:val="00E61CF6"/>
    <w:rsid w:val="00E62552"/>
    <w:rsid w:val="00E635BA"/>
    <w:rsid w:val="00E6421F"/>
    <w:rsid w:val="00E65D35"/>
    <w:rsid w:val="00E6798E"/>
    <w:rsid w:val="00E71143"/>
    <w:rsid w:val="00E71CE0"/>
    <w:rsid w:val="00E72542"/>
    <w:rsid w:val="00E72E41"/>
    <w:rsid w:val="00E74994"/>
    <w:rsid w:val="00E769B7"/>
    <w:rsid w:val="00E77018"/>
    <w:rsid w:val="00E77B2D"/>
    <w:rsid w:val="00E800B7"/>
    <w:rsid w:val="00E800BB"/>
    <w:rsid w:val="00E80963"/>
    <w:rsid w:val="00E81181"/>
    <w:rsid w:val="00E81A6C"/>
    <w:rsid w:val="00E82864"/>
    <w:rsid w:val="00E85438"/>
    <w:rsid w:val="00E859E6"/>
    <w:rsid w:val="00E8746D"/>
    <w:rsid w:val="00E9372B"/>
    <w:rsid w:val="00E9378C"/>
    <w:rsid w:val="00E96A50"/>
    <w:rsid w:val="00E96B12"/>
    <w:rsid w:val="00EA10E9"/>
    <w:rsid w:val="00EA119C"/>
    <w:rsid w:val="00EA38FE"/>
    <w:rsid w:val="00EA3D96"/>
    <w:rsid w:val="00EA43F7"/>
    <w:rsid w:val="00EB2029"/>
    <w:rsid w:val="00EB3942"/>
    <w:rsid w:val="00EB667B"/>
    <w:rsid w:val="00EC146D"/>
    <w:rsid w:val="00EC2066"/>
    <w:rsid w:val="00EC27EF"/>
    <w:rsid w:val="00EC36BE"/>
    <w:rsid w:val="00EC385A"/>
    <w:rsid w:val="00EC4D62"/>
    <w:rsid w:val="00EC4DF9"/>
    <w:rsid w:val="00EC65FC"/>
    <w:rsid w:val="00ED0708"/>
    <w:rsid w:val="00ED1DB9"/>
    <w:rsid w:val="00ED37A8"/>
    <w:rsid w:val="00ED4279"/>
    <w:rsid w:val="00ED42C1"/>
    <w:rsid w:val="00ED4369"/>
    <w:rsid w:val="00ED4A10"/>
    <w:rsid w:val="00ED4E77"/>
    <w:rsid w:val="00ED52D7"/>
    <w:rsid w:val="00ED5D75"/>
    <w:rsid w:val="00ED62D2"/>
    <w:rsid w:val="00ED66B1"/>
    <w:rsid w:val="00ED7BB9"/>
    <w:rsid w:val="00EE03A9"/>
    <w:rsid w:val="00EE1F70"/>
    <w:rsid w:val="00EE25D2"/>
    <w:rsid w:val="00EE3DE3"/>
    <w:rsid w:val="00EE4E4F"/>
    <w:rsid w:val="00EE6056"/>
    <w:rsid w:val="00EE758D"/>
    <w:rsid w:val="00EF0D12"/>
    <w:rsid w:val="00EF3893"/>
    <w:rsid w:val="00EF4D69"/>
    <w:rsid w:val="00EF61BE"/>
    <w:rsid w:val="00EF6530"/>
    <w:rsid w:val="00EF6F1E"/>
    <w:rsid w:val="00F0080A"/>
    <w:rsid w:val="00F01D17"/>
    <w:rsid w:val="00F05015"/>
    <w:rsid w:val="00F07DC9"/>
    <w:rsid w:val="00F10958"/>
    <w:rsid w:val="00F112A4"/>
    <w:rsid w:val="00F123B6"/>
    <w:rsid w:val="00F13B98"/>
    <w:rsid w:val="00F142A4"/>
    <w:rsid w:val="00F15A61"/>
    <w:rsid w:val="00F15DFA"/>
    <w:rsid w:val="00F1600A"/>
    <w:rsid w:val="00F21446"/>
    <w:rsid w:val="00F21A56"/>
    <w:rsid w:val="00F2454B"/>
    <w:rsid w:val="00F24A94"/>
    <w:rsid w:val="00F258CB"/>
    <w:rsid w:val="00F263BF"/>
    <w:rsid w:val="00F27800"/>
    <w:rsid w:val="00F31071"/>
    <w:rsid w:val="00F3112A"/>
    <w:rsid w:val="00F3118E"/>
    <w:rsid w:val="00F34AB1"/>
    <w:rsid w:val="00F34C85"/>
    <w:rsid w:val="00F3724D"/>
    <w:rsid w:val="00F3784A"/>
    <w:rsid w:val="00F43006"/>
    <w:rsid w:val="00F43DCB"/>
    <w:rsid w:val="00F4476C"/>
    <w:rsid w:val="00F506F8"/>
    <w:rsid w:val="00F508DE"/>
    <w:rsid w:val="00F526B5"/>
    <w:rsid w:val="00F528F7"/>
    <w:rsid w:val="00F52EA4"/>
    <w:rsid w:val="00F53B5D"/>
    <w:rsid w:val="00F55A98"/>
    <w:rsid w:val="00F564B0"/>
    <w:rsid w:val="00F56CF8"/>
    <w:rsid w:val="00F57741"/>
    <w:rsid w:val="00F57C02"/>
    <w:rsid w:val="00F61675"/>
    <w:rsid w:val="00F61FE1"/>
    <w:rsid w:val="00F62546"/>
    <w:rsid w:val="00F63DC7"/>
    <w:rsid w:val="00F64402"/>
    <w:rsid w:val="00F6484B"/>
    <w:rsid w:val="00F64DD1"/>
    <w:rsid w:val="00F65356"/>
    <w:rsid w:val="00F65C6B"/>
    <w:rsid w:val="00F66689"/>
    <w:rsid w:val="00F667A7"/>
    <w:rsid w:val="00F705B0"/>
    <w:rsid w:val="00F711B8"/>
    <w:rsid w:val="00F72CC7"/>
    <w:rsid w:val="00F72F43"/>
    <w:rsid w:val="00F74CEB"/>
    <w:rsid w:val="00F7562A"/>
    <w:rsid w:val="00F75B83"/>
    <w:rsid w:val="00F77926"/>
    <w:rsid w:val="00F845D2"/>
    <w:rsid w:val="00F84695"/>
    <w:rsid w:val="00F84AE2"/>
    <w:rsid w:val="00F85DFD"/>
    <w:rsid w:val="00F90536"/>
    <w:rsid w:val="00F90C45"/>
    <w:rsid w:val="00F91042"/>
    <w:rsid w:val="00F925FB"/>
    <w:rsid w:val="00F93172"/>
    <w:rsid w:val="00F94184"/>
    <w:rsid w:val="00F9476A"/>
    <w:rsid w:val="00F97EDE"/>
    <w:rsid w:val="00FA0068"/>
    <w:rsid w:val="00FA0B66"/>
    <w:rsid w:val="00FA125F"/>
    <w:rsid w:val="00FA1595"/>
    <w:rsid w:val="00FA2B63"/>
    <w:rsid w:val="00FA430C"/>
    <w:rsid w:val="00FA4649"/>
    <w:rsid w:val="00FA47D3"/>
    <w:rsid w:val="00FA4D51"/>
    <w:rsid w:val="00FA56EE"/>
    <w:rsid w:val="00FA6917"/>
    <w:rsid w:val="00FA717F"/>
    <w:rsid w:val="00FB017F"/>
    <w:rsid w:val="00FB14DE"/>
    <w:rsid w:val="00FB2122"/>
    <w:rsid w:val="00FB4138"/>
    <w:rsid w:val="00FB45D3"/>
    <w:rsid w:val="00FB4C03"/>
    <w:rsid w:val="00FB5107"/>
    <w:rsid w:val="00FB6683"/>
    <w:rsid w:val="00FB773B"/>
    <w:rsid w:val="00FB7E0C"/>
    <w:rsid w:val="00FC1B43"/>
    <w:rsid w:val="00FC1F51"/>
    <w:rsid w:val="00FC3117"/>
    <w:rsid w:val="00FC340A"/>
    <w:rsid w:val="00FC599F"/>
    <w:rsid w:val="00FC6FDC"/>
    <w:rsid w:val="00FD0EA5"/>
    <w:rsid w:val="00FD14A4"/>
    <w:rsid w:val="00FD303D"/>
    <w:rsid w:val="00FD3A5B"/>
    <w:rsid w:val="00FD491C"/>
    <w:rsid w:val="00FD738E"/>
    <w:rsid w:val="00FE0C70"/>
    <w:rsid w:val="00FE1D17"/>
    <w:rsid w:val="00FE4BD8"/>
    <w:rsid w:val="00FE678F"/>
    <w:rsid w:val="00FE680D"/>
    <w:rsid w:val="00FE6CC0"/>
    <w:rsid w:val="00FE7F61"/>
    <w:rsid w:val="00FF0ACE"/>
    <w:rsid w:val="00FF1E26"/>
    <w:rsid w:val="00FF2C9C"/>
    <w:rsid w:val="00FF4B4E"/>
    <w:rsid w:val="00FF4D7B"/>
    <w:rsid w:val="00FF6923"/>
    <w:rsid w:val="00FF753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0AB667A"/>
  <w15:docId w15:val="{0CC5D576-012E-4A2A-889D-9814FFE98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915057"/>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B2283B"/>
    <w:rPr>
      <w:color w:val="808080"/>
      <w:shd w:val="clear" w:color="auto" w:fill="E6E6E6"/>
    </w:rPr>
  </w:style>
  <w:style w:type="character" w:styleId="FollowedHyperlink">
    <w:name w:val="FollowedHyperlink"/>
    <w:basedOn w:val="DefaultParagraphFont"/>
    <w:semiHidden/>
    <w:unhideWhenUsed/>
    <w:rsid w:val="001A7351"/>
    <w:rPr>
      <w:color w:val="800080" w:themeColor="followedHyperlink"/>
      <w:u w:val="single"/>
    </w:rPr>
  </w:style>
  <w:style w:type="paragraph" w:customStyle="1" w:styleId="xmsonormal">
    <w:name w:val="x_msonormal"/>
    <w:basedOn w:val="Normal"/>
    <w:rsid w:val="00CF6F46"/>
    <w:rPr>
      <w:rFonts w:eastAsiaTheme="minorHAnsi"/>
      <w:lang w:eastAsia="en-GB"/>
    </w:rPr>
  </w:style>
  <w:style w:type="character" w:customStyle="1" w:styleId="UnresolvedMention">
    <w:name w:val="Unresolved Mention"/>
    <w:basedOn w:val="DefaultParagraphFont"/>
    <w:uiPriority w:val="99"/>
    <w:semiHidden/>
    <w:unhideWhenUsed/>
    <w:rsid w:val="00093DB6"/>
    <w:rPr>
      <w:color w:val="605E5C"/>
      <w:shd w:val="clear" w:color="auto" w:fill="E1DFDD"/>
    </w:rPr>
  </w:style>
  <w:style w:type="paragraph" w:styleId="EndnoteText">
    <w:name w:val="endnote text"/>
    <w:basedOn w:val="Normal"/>
    <w:link w:val="EndnoteTextChar"/>
    <w:semiHidden/>
    <w:unhideWhenUsed/>
    <w:rsid w:val="00784DF8"/>
    <w:rPr>
      <w:sz w:val="20"/>
      <w:szCs w:val="20"/>
    </w:rPr>
  </w:style>
  <w:style w:type="character" w:customStyle="1" w:styleId="EndnoteTextChar">
    <w:name w:val="Endnote Text Char"/>
    <w:basedOn w:val="DefaultParagraphFont"/>
    <w:link w:val="EndnoteText"/>
    <w:semiHidden/>
    <w:rsid w:val="00784DF8"/>
    <w:rPr>
      <w:lang w:eastAsia="fr-FR"/>
    </w:rPr>
  </w:style>
  <w:style w:type="character" w:styleId="EndnoteReference">
    <w:name w:val="endnote reference"/>
    <w:basedOn w:val="DefaultParagraphFont"/>
    <w:semiHidden/>
    <w:unhideWhenUsed/>
    <w:rsid w:val="00784DF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11885">
      <w:bodyDiv w:val="1"/>
      <w:marLeft w:val="0"/>
      <w:marRight w:val="0"/>
      <w:marTop w:val="0"/>
      <w:marBottom w:val="0"/>
      <w:divBdr>
        <w:top w:val="none" w:sz="0" w:space="0" w:color="auto"/>
        <w:left w:val="none" w:sz="0" w:space="0" w:color="auto"/>
        <w:bottom w:val="none" w:sz="0" w:space="0" w:color="auto"/>
        <w:right w:val="none" w:sz="0" w:space="0" w:color="auto"/>
      </w:divBdr>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517214">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779487">
      <w:bodyDiv w:val="1"/>
      <w:marLeft w:val="0"/>
      <w:marRight w:val="0"/>
      <w:marTop w:val="0"/>
      <w:marBottom w:val="0"/>
      <w:divBdr>
        <w:top w:val="none" w:sz="0" w:space="0" w:color="auto"/>
        <w:left w:val="none" w:sz="0" w:space="0" w:color="auto"/>
        <w:bottom w:val="none" w:sz="0" w:space="0" w:color="auto"/>
        <w:right w:val="none" w:sz="0" w:space="0" w:color="auto"/>
      </w:divBdr>
    </w:div>
    <w:div w:id="410274332">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645220">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1158665">
      <w:bodyDiv w:val="1"/>
      <w:marLeft w:val="0"/>
      <w:marRight w:val="0"/>
      <w:marTop w:val="0"/>
      <w:marBottom w:val="0"/>
      <w:divBdr>
        <w:top w:val="none" w:sz="0" w:space="0" w:color="auto"/>
        <w:left w:val="none" w:sz="0" w:space="0" w:color="auto"/>
        <w:bottom w:val="none" w:sz="0" w:space="0" w:color="auto"/>
        <w:right w:val="none" w:sz="0" w:space="0" w:color="auto"/>
      </w:divBdr>
      <w:divsChild>
        <w:div w:id="90703987">
          <w:marLeft w:val="0"/>
          <w:marRight w:val="0"/>
          <w:marTop w:val="0"/>
          <w:marBottom w:val="0"/>
          <w:divBdr>
            <w:top w:val="none" w:sz="0" w:space="0" w:color="auto"/>
            <w:left w:val="none" w:sz="0" w:space="0" w:color="auto"/>
            <w:bottom w:val="none" w:sz="0" w:space="0" w:color="auto"/>
            <w:right w:val="none" w:sz="0" w:space="0" w:color="auto"/>
          </w:divBdr>
        </w:div>
        <w:div w:id="534394404">
          <w:marLeft w:val="0"/>
          <w:marRight w:val="0"/>
          <w:marTop w:val="0"/>
          <w:marBottom w:val="0"/>
          <w:divBdr>
            <w:top w:val="none" w:sz="0" w:space="0" w:color="auto"/>
            <w:left w:val="none" w:sz="0" w:space="0" w:color="auto"/>
            <w:bottom w:val="none" w:sz="0" w:space="0" w:color="auto"/>
            <w:right w:val="none" w:sz="0" w:space="0" w:color="auto"/>
          </w:divBdr>
        </w:div>
        <w:div w:id="737674688">
          <w:marLeft w:val="0"/>
          <w:marRight w:val="0"/>
          <w:marTop w:val="0"/>
          <w:marBottom w:val="0"/>
          <w:divBdr>
            <w:top w:val="none" w:sz="0" w:space="0" w:color="auto"/>
            <w:left w:val="none" w:sz="0" w:space="0" w:color="auto"/>
            <w:bottom w:val="none" w:sz="0" w:space="0" w:color="auto"/>
            <w:right w:val="none" w:sz="0" w:space="0" w:color="auto"/>
          </w:divBdr>
        </w:div>
        <w:div w:id="368649361">
          <w:marLeft w:val="0"/>
          <w:marRight w:val="0"/>
          <w:marTop w:val="0"/>
          <w:marBottom w:val="0"/>
          <w:divBdr>
            <w:top w:val="none" w:sz="0" w:space="0" w:color="auto"/>
            <w:left w:val="none" w:sz="0" w:space="0" w:color="auto"/>
            <w:bottom w:val="none" w:sz="0" w:space="0" w:color="auto"/>
            <w:right w:val="none" w:sz="0" w:space="0" w:color="auto"/>
          </w:divBdr>
        </w:div>
        <w:div w:id="1546019288">
          <w:marLeft w:val="0"/>
          <w:marRight w:val="0"/>
          <w:marTop w:val="0"/>
          <w:marBottom w:val="0"/>
          <w:divBdr>
            <w:top w:val="none" w:sz="0" w:space="0" w:color="auto"/>
            <w:left w:val="none" w:sz="0" w:space="0" w:color="auto"/>
            <w:bottom w:val="none" w:sz="0" w:space="0" w:color="auto"/>
            <w:right w:val="none" w:sz="0" w:space="0" w:color="auto"/>
          </w:divBdr>
        </w:div>
        <w:div w:id="1045569606">
          <w:marLeft w:val="0"/>
          <w:marRight w:val="0"/>
          <w:marTop w:val="0"/>
          <w:marBottom w:val="0"/>
          <w:divBdr>
            <w:top w:val="none" w:sz="0" w:space="0" w:color="auto"/>
            <w:left w:val="none" w:sz="0" w:space="0" w:color="auto"/>
            <w:bottom w:val="none" w:sz="0" w:space="0" w:color="auto"/>
            <w:right w:val="none" w:sz="0" w:space="0" w:color="auto"/>
          </w:divBdr>
        </w:div>
      </w:divsChild>
    </w:div>
    <w:div w:id="982388787">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20358068">
      <w:bodyDiv w:val="1"/>
      <w:marLeft w:val="0"/>
      <w:marRight w:val="0"/>
      <w:marTop w:val="0"/>
      <w:marBottom w:val="0"/>
      <w:divBdr>
        <w:top w:val="none" w:sz="0" w:space="0" w:color="auto"/>
        <w:left w:val="none" w:sz="0" w:space="0" w:color="auto"/>
        <w:bottom w:val="none" w:sz="0" w:space="0" w:color="auto"/>
        <w:right w:val="none" w:sz="0" w:space="0" w:color="auto"/>
      </w:divBdr>
      <w:divsChild>
        <w:div w:id="1481574007">
          <w:marLeft w:val="0"/>
          <w:marRight w:val="0"/>
          <w:marTop w:val="0"/>
          <w:marBottom w:val="0"/>
          <w:divBdr>
            <w:top w:val="none" w:sz="0" w:space="0" w:color="auto"/>
            <w:left w:val="none" w:sz="0" w:space="0" w:color="auto"/>
            <w:bottom w:val="none" w:sz="0" w:space="0" w:color="auto"/>
            <w:right w:val="none" w:sz="0" w:space="0" w:color="auto"/>
          </w:divBdr>
          <w:divsChild>
            <w:div w:id="720252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247420043">
      <w:bodyDiv w:val="1"/>
      <w:marLeft w:val="0"/>
      <w:marRight w:val="0"/>
      <w:marTop w:val="0"/>
      <w:marBottom w:val="0"/>
      <w:divBdr>
        <w:top w:val="none" w:sz="0" w:space="0" w:color="auto"/>
        <w:left w:val="none" w:sz="0" w:space="0" w:color="auto"/>
        <w:bottom w:val="none" w:sz="0" w:space="0" w:color="auto"/>
        <w:right w:val="none" w:sz="0" w:space="0" w:color="auto"/>
      </w:divBdr>
    </w:div>
    <w:div w:id="1393849514">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1067690">
      <w:bodyDiv w:val="1"/>
      <w:marLeft w:val="0"/>
      <w:marRight w:val="0"/>
      <w:marTop w:val="0"/>
      <w:marBottom w:val="0"/>
      <w:divBdr>
        <w:top w:val="none" w:sz="0" w:space="0" w:color="auto"/>
        <w:left w:val="none" w:sz="0" w:space="0" w:color="auto"/>
        <w:bottom w:val="none" w:sz="0" w:space="0" w:color="auto"/>
        <w:right w:val="none" w:sz="0" w:space="0" w:color="auto"/>
      </w:divBdr>
      <w:divsChild>
        <w:div w:id="1992711804">
          <w:marLeft w:val="0"/>
          <w:marRight w:val="0"/>
          <w:marTop w:val="0"/>
          <w:marBottom w:val="0"/>
          <w:divBdr>
            <w:top w:val="none" w:sz="0" w:space="0" w:color="auto"/>
            <w:left w:val="none" w:sz="0" w:space="0" w:color="auto"/>
            <w:bottom w:val="none" w:sz="0" w:space="0" w:color="auto"/>
            <w:right w:val="none" w:sz="0" w:space="0" w:color="auto"/>
          </w:divBdr>
          <w:divsChild>
            <w:div w:id="177000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840825">
      <w:bodyDiv w:val="1"/>
      <w:marLeft w:val="0"/>
      <w:marRight w:val="0"/>
      <w:marTop w:val="0"/>
      <w:marBottom w:val="0"/>
      <w:divBdr>
        <w:top w:val="none" w:sz="0" w:space="0" w:color="auto"/>
        <w:left w:val="none" w:sz="0" w:space="0" w:color="auto"/>
        <w:bottom w:val="none" w:sz="0" w:space="0" w:color="auto"/>
        <w:right w:val="none" w:sz="0" w:space="0" w:color="auto"/>
      </w:divBdr>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1957077">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2697388">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8346735">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diagramColors" Target="diagrams/colors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diagramQuickStyle" Target="diagrams/quickStyle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footer" Target="footer3.xml"/><Relationship Id="rId10" Type="http://schemas.openxmlformats.org/officeDocument/2006/relationships/image" Target="media/image2.png"/><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13" Type="http://schemas.openxmlformats.org/officeDocument/2006/relationships/hyperlink" Target="https://www.elconfidencial.com/economia/paradise-papers/2017-11-06/papeles-paraiso-fiscal-legislacion-espana_1473396/" TargetMode="External"/><Relationship Id="rId18" Type="http://schemas.openxmlformats.org/officeDocument/2006/relationships/hyperlink" Target="https://eur-lex.europa.eu/legal-content/EN/ALL/?uri=celex%3A32011L0098" TargetMode="External"/><Relationship Id="rId26" Type="http://schemas.openxmlformats.org/officeDocument/2006/relationships/hyperlink" Target="https://expinterweb.empleo.gob.es/ley11/inicio/showTramites.action?procedimientoSel=200&amp;proc=5" TargetMode="External"/><Relationship Id="rId39" Type="http://schemas.openxmlformats.org/officeDocument/2006/relationships/hyperlink" Target="http://www.exteriores.gob.es/Consulados/CIUDADDELCABO/es/ServiciosConsulares/ServiciosConsularesCiudaddelCabo/Documents/Visados/Visado%20nacional%20inversores%20capital%2030%20octubre%202017.pdf" TargetMode="External"/><Relationship Id="rId21" Type="http://schemas.openxmlformats.org/officeDocument/2006/relationships/hyperlink" Target="https://www.boe.es/buscar/act.php?id=BOE-A-2010-6737" TargetMode="External"/><Relationship Id="rId34" Type="http://schemas.openxmlformats.org/officeDocument/2006/relationships/hyperlink" Target="http://extranjeros.empleo.gob.es/es/UnidadGrandesEmpresas/ley14_2013/documentacion/Informe_anual_de_la_Seccion_de_Movilidad_de_la_ley_14_2013.pdf" TargetMode="External"/><Relationship Id="rId42" Type="http://schemas.openxmlformats.org/officeDocument/2006/relationships/hyperlink" Target="https://boe.es/diario_boe/txt.php?id=BOE-A-2016-7855" TargetMode="External"/><Relationship Id="rId47" Type="http://schemas.openxmlformats.org/officeDocument/2006/relationships/hyperlink" Target="http://www.seg-social.es/Internet_1/Trabajadores/Afiliacion/Informaciongeneral/index.htm" TargetMode="External"/><Relationship Id="rId50" Type="http://schemas.openxmlformats.org/officeDocument/2006/relationships/hyperlink" Target="https://boe.es/buscar/act.php?id=BOE-A-1889-4763" TargetMode="External"/><Relationship Id="rId55" Type="http://schemas.openxmlformats.org/officeDocument/2006/relationships/hyperlink" Target="http://www.comercio.gob.es/es-ES/noticias/Documents/Informe%20de%20Evaluaci%C3%B3n%20del%20PEEI.pdf" TargetMode="External"/><Relationship Id="rId7" Type="http://schemas.openxmlformats.org/officeDocument/2006/relationships/hyperlink" Target="https://www.boe.es/buscar/act.php?id=BOE-A-2017-7979" TargetMode="External"/><Relationship Id="rId12" Type="http://schemas.openxmlformats.org/officeDocument/2006/relationships/hyperlink" Target="https://www.boe.es/buscar/act.php?id=BOE-A-2014-11714" TargetMode="External"/><Relationship Id="rId17" Type="http://schemas.openxmlformats.org/officeDocument/2006/relationships/hyperlink" Target="https://eur-lex.europa.eu/legal-content/EN/TXT/?uri=celex:31995R1683" TargetMode="External"/><Relationship Id="rId25" Type="http://schemas.openxmlformats.org/officeDocument/2006/relationships/hyperlink" Target="http://extranjeros.empleo.gob.es/es/ModelosSolicitudes/ley_14_2013/MI_T_NOV_2016_editable.pdf" TargetMode="External"/><Relationship Id="rId33" Type="http://schemas.openxmlformats.org/officeDocument/2006/relationships/hyperlink" Target="https://www.boe.es/buscar/act.php?id=BOE-A-2015-11724" TargetMode="External"/><Relationship Id="rId38" Type="http://schemas.openxmlformats.org/officeDocument/2006/relationships/hyperlink" Target="http://extranjeros.empleo.gob.es/es/InformacionInteres/FolletosInformativos/archivos/triptico_reagrupacion_familiar.pdf" TargetMode="External"/><Relationship Id="rId46" Type="http://schemas.openxmlformats.org/officeDocument/2006/relationships/hyperlink" Target="http://www.mjusticia.gob.es/cs/Satellite/Portal/es/areas-tematicas/registros/registro-propiedad" TargetMode="External"/><Relationship Id="rId59" Type="http://schemas.openxmlformats.org/officeDocument/2006/relationships/hyperlink" Target="https://elpais.com/economia/2017/04/23/actualidad/1492964484_077992.html" TargetMode="External"/><Relationship Id="rId2" Type="http://schemas.openxmlformats.org/officeDocument/2006/relationships/hyperlink" Target="https://www.boe.es/buscar/act.php?id=BOE-A-2000-544" TargetMode="External"/><Relationship Id="rId16" Type="http://schemas.openxmlformats.org/officeDocument/2006/relationships/hyperlink" Target="http://www.mjusticia.gob.es/cs/Satellite/Portal/es/areas-tematicas/registros/registro-propiedad" TargetMode="External"/><Relationship Id="rId20" Type="http://schemas.openxmlformats.org/officeDocument/2006/relationships/hyperlink" Target="https://expinterweb.empleo.gob.es/Tasa038/presentarFormulario038.action" TargetMode="External"/><Relationship Id="rId29" Type="http://schemas.openxmlformats.org/officeDocument/2006/relationships/hyperlink" Target="https://boe.es/buscar/act.php?id=BOE-A-2015-10565" TargetMode="External"/><Relationship Id="rId41" Type="http://schemas.openxmlformats.org/officeDocument/2006/relationships/hyperlink" Target="https://www.boe.es/buscar/act.php?id=BOE-A-2010-10544" TargetMode="External"/><Relationship Id="rId54" Type="http://schemas.openxmlformats.org/officeDocument/2006/relationships/hyperlink" Target="http://www.ine.es/dyngs/IOE/es/operacion.htm?numinv=63051" TargetMode="External"/><Relationship Id="rId1" Type="http://schemas.openxmlformats.org/officeDocument/2006/relationships/hyperlink" Target="https://www.boe.es/buscar/act.php?id=BOE-A-2013-10074" TargetMode="External"/><Relationship Id="rId6" Type="http://schemas.openxmlformats.org/officeDocument/2006/relationships/hyperlink" Target="https://www.boe.es/buscar/act.php?id=BOE-A-1978-31229&amp;p=20110927&amp;tn=1" TargetMode="External"/><Relationship Id="rId11" Type="http://schemas.openxmlformats.org/officeDocument/2006/relationships/hyperlink" Target="https://eur-lex.europa.eu/legal-content/EN/TXT/?uri=CELEX:02010R0265-20160412" TargetMode="External"/><Relationship Id="rId24" Type="http://schemas.openxmlformats.org/officeDocument/2006/relationships/hyperlink" Target="https://www.boe.es/buscar/act.php?id=BOE-A-2015-11724" TargetMode="External"/><Relationship Id="rId32" Type="http://schemas.openxmlformats.org/officeDocument/2006/relationships/hyperlink" Target="https://boe.es/buscar/act.php?id=BOE-A-2003-23186" TargetMode="External"/><Relationship Id="rId37" Type="http://schemas.openxmlformats.org/officeDocument/2006/relationships/hyperlink" Target="http://extranjeros.empleo.gob.es/es/Estadisticas/index.html" TargetMode="External"/><Relationship Id="rId40" Type="http://schemas.openxmlformats.org/officeDocument/2006/relationships/hyperlink" Target="https://dialnet.unirioja.es/descarga/articulo/721284.pdf" TargetMode="External"/><Relationship Id="rId45" Type="http://schemas.openxmlformats.org/officeDocument/2006/relationships/hyperlink" Target="https://www.eldiario.es/economia/visados-extranjeros-invierten-millones-disparan_0_753125467.html" TargetMode="External"/><Relationship Id="rId53" Type="http://schemas.openxmlformats.org/officeDocument/2006/relationships/hyperlink" Target="http://www.ine.es/jaxi/tabla.do?type=pcaxis&amp;path=/t20/p279/serie/l0/&amp;file=01002.px" TargetMode="External"/><Relationship Id="rId58" Type="http://schemas.openxmlformats.org/officeDocument/2006/relationships/hyperlink" Target="https://www.eldiario.es/economia/visados-extranjeros-invierten-millones-disparan_0_753125467.html" TargetMode="External"/><Relationship Id="rId5" Type="http://schemas.openxmlformats.org/officeDocument/2006/relationships/hyperlink" Target="https://www.boe.es/buscar/act.php?id=BOE-A-2015-8469" TargetMode="External"/><Relationship Id="rId15" Type="http://schemas.openxmlformats.org/officeDocument/2006/relationships/hyperlink" Target="https://eur-lex.europa.eu/legal-content/en/TXT/?uri=CELEX:32016R0399" TargetMode="External"/><Relationship Id="rId23" Type="http://schemas.openxmlformats.org/officeDocument/2006/relationships/hyperlink" Target="https://boe.es/buscar/act.php?id=BOE-A-2003-23186" TargetMode="External"/><Relationship Id="rId28" Type="http://schemas.openxmlformats.org/officeDocument/2006/relationships/hyperlink" Target="https://boe.es/buscar/act.php?id=BOE-A-2015-10565" TargetMode="External"/><Relationship Id="rId36" Type="http://schemas.openxmlformats.org/officeDocument/2006/relationships/hyperlink" Target="https://www.boe.es/buscar/act.php?id=BOE-A-2013-12887" TargetMode="External"/><Relationship Id="rId49" Type="http://schemas.openxmlformats.org/officeDocument/2006/relationships/hyperlink" Target="http://extranjeros.empleo.gob.es/es/UnidadGrandesEmpresas/ley14_2013/documentacion/Informe_anual_de_la_Seccion_de_Movilidad_de_la_ley_14_2013.pdf" TargetMode="External"/><Relationship Id="rId57" Type="http://schemas.openxmlformats.org/officeDocument/2006/relationships/hyperlink" Target="https://cincodias.elpais.com/cincodias/2018/05/04/midinero/1525450395_341550.html" TargetMode="External"/><Relationship Id="rId10" Type="http://schemas.openxmlformats.org/officeDocument/2006/relationships/hyperlink" Target="http://eur-lex.europa.eu/legal-content/EN/TXT/?uri=celex:32009R0810" TargetMode="External"/><Relationship Id="rId19" Type="http://schemas.openxmlformats.org/officeDocument/2006/relationships/hyperlink" Target="https://www.boe.es/diario_boe/txt.php?id=BOE-A-2014-9064" TargetMode="External"/><Relationship Id="rId31" Type="http://schemas.openxmlformats.org/officeDocument/2006/relationships/hyperlink" Target="http://www.mjusticia.gob.es/cs/Satellite/Portal/es/areas-tematicas/registros/registro-propiedad" TargetMode="External"/><Relationship Id="rId44" Type="http://schemas.openxmlformats.org/officeDocument/2006/relationships/hyperlink" Target="https://expinterweb.empleo.gob.es/ley11/inicio/showTramites.action?procedimientoSel=200&amp;proc=5" TargetMode="External"/><Relationship Id="rId52" Type="http://schemas.openxmlformats.org/officeDocument/2006/relationships/hyperlink" Target="https://www.boe.es/buscar/act.php?id=BOE-A-2015-12047" TargetMode="External"/><Relationship Id="rId4" Type="http://schemas.openxmlformats.org/officeDocument/2006/relationships/hyperlink" Target="http://extranjeros.empleo.gob.es/es/UnidadGrandesEmpresas/ley14_2013/documentacion/Informe_anual_de_la_Seccion_de_Movilidad_de_la_ley_14_2013.pdf" TargetMode="External"/><Relationship Id="rId9" Type="http://schemas.openxmlformats.org/officeDocument/2006/relationships/hyperlink" Target="http://extranjeros.empleo.gob.es/es/UnidadGrandesEmpresas/index.html" TargetMode="External"/><Relationship Id="rId14" Type="http://schemas.openxmlformats.org/officeDocument/2006/relationships/hyperlink" Target="https://eur-lex.europa.eu/legal-content/EN/ALL/?uri=celex%3A32006R0562" TargetMode="External"/><Relationship Id="rId22" Type="http://schemas.openxmlformats.org/officeDocument/2006/relationships/hyperlink" Target="https://eur-lex.europa.eu/legal-content/En/TXT/?uri=CELEX:32015L0849" TargetMode="External"/><Relationship Id="rId27" Type="http://schemas.openxmlformats.org/officeDocument/2006/relationships/hyperlink" Target="https://expinterweb.empleo.gob.es/ley11/inicio/elegirTramite.action?tramiteSel=0&amp;procedimientoSel=200&amp;proc=5" TargetMode="External"/><Relationship Id="rId30" Type="http://schemas.openxmlformats.org/officeDocument/2006/relationships/hyperlink" Target="https://boe.es/buscar/act.php?id=BOE-A-1998-16718" TargetMode="External"/><Relationship Id="rId35" Type="http://schemas.openxmlformats.org/officeDocument/2006/relationships/hyperlink" Target="https://www.boe.es/buscar/act.php?id=BOE-A-1999-23750" TargetMode="External"/><Relationship Id="rId43" Type="http://schemas.openxmlformats.org/officeDocument/2006/relationships/hyperlink" Target="https://www.boe.es/buscar/act.php?id=BOE-A-2017-7979" TargetMode="External"/><Relationship Id="rId48" Type="http://schemas.openxmlformats.org/officeDocument/2006/relationships/hyperlink" Target="http://www.minhafp.gob.es/es-ES/Normativa%20y%20doctrina/Normativa/CDI/Paginas/CDI_Alfa.aspx" TargetMode="External"/><Relationship Id="rId56" Type="http://schemas.openxmlformats.org/officeDocument/2006/relationships/hyperlink" Target="https://acmspublicaciones.revistabarataria.es/wp-content/uploads/2017/05/33.Ortega.Valdep.2016.452_461.pdf" TargetMode="External"/><Relationship Id="rId8" Type="http://schemas.openxmlformats.org/officeDocument/2006/relationships/hyperlink" Target="http://www.empleo.gob.es/es/sec_emi/index.htm" TargetMode="External"/><Relationship Id="rId51" Type="http://schemas.openxmlformats.org/officeDocument/2006/relationships/hyperlink" Target="https://www.boe.es/buscar/act.php?id=BOE-A-2015-12047" TargetMode="External"/><Relationship Id="rId3" Type="http://schemas.openxmlformats.org/officeDocument/2006/relationships/hyperlink" Target="https://www.boe.es/buscar/act.php?id=BOE-A-2011-7703"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832DB88-9660-42DE-9A40-69DA2A2091BE}" type="doc">
      <dgm:prSet loTypeId="urn:microsoft.com/office/officeart/2005/8/layout/process1" loCatId="process" qsTypeId="urn:microsoft.com/office/officeart/2005/8/quickstyle/simple1" qsCatId="simple" csTypeId="urn:microsoft.com/office/officeart/2005/8/colors/accent1_2" csCatId="accent1" phldr="1"/>
      <dgm:spPr/>
    </dgm:pt>
    <dgm:pt modelId="{3B52DD24-F01C-448D-89F8-C49922947187}">
      <dgm:prSet phldrT="[Text]" custT="1"/>
      <dgm:spPr/>
      <dgm:t>
        <a:bodyPr/>
        <a:lstStyle/>
        <a:p>
          <a:pPr algn="ctr"/>
          <a:r>
            <a:rPr lang="en-GB" sz="1400"/>
            <a:t>Entry</a:t>
          </a:r>
        </a:p>
      </dgm:t>
    </dgm:pt>
    <dgm:pt modelId="{C04702BB-930F-4990-B15F-F2D350CD72FC}" type="parTrans" cxnId="{43D66448-0912-4620-A41A-5B3941890FD2}">
      <dgm:prSet/>
      <dgm:spPr/>
      <dgm:t>
        <a:bodyPr/>
        <a:lstStyle/>
        <a:p>
          <a:endParaRPr lang="en-GB"/>
        </a:p>
      </dgm:t>
    </dgm:pt>
    <dgm:pt modelId="{45F4F4A7-F0F8-4DFF-9CDA-880BFDDA7E9B}" type="sibTrans" cxnId="{43D66448-0912-4620-A41A-5B3941890FD2}">
      <dgm:prSet/>
      <dgm:spPr/>
      <dgm:t>
        <a:bodyPr/>
        <a:lstStyle/>
        <a:p>
          <a:endParaRPr lang="en-GB"/>
        </a:p>
      </dgm:t>
    </dgm:pt>
    <dgm:pt modelId="{12DBB701-4CBB-40C2-BAD3-364F544F34E8}">
      <dgm:prSet phldrT="[Text]" custT="1"/>
      <dgm:spPr/>
      <dgm:t>
        <a:bodyPr/>
        <a:lstStyle/>
        <a:p>
          <a:pPr algn="ctr"/>
          <a:r>
            <a:rPr lang="en-GB" sz="1400"/>
            <a:t>Residence</a:t>
          </a:r>
        </a:p>
        <a:p>
          <a:pPr algn="ctr"/>
          <a:r>
            <a:rPr lang="en-GB" sz="1100"/>
            <a:t>Residence authorisation for investors</a:t>
          </a:r>
        </a:p>
      </dgm:t>
    </dgm:pt>
    <dgm:pt modelId="{F5E28BFB-BA66-4DE4-8023-AF8759F97FB3}" type="parTrans" cxnId="{7470D88F-0D82-4474-A78E-B22A6D966CC3}">
      <dgm:prSet/>
      <dgm:spPr/>
      <dgm:t>
        <a:bodyPr/>
        <a:lstStyle/>
        <a:p>
          <a:endParaRPr lang="en-GB"/>
        </a:p>
      </dgm:t>
    </dgm:pt>
    <dgm:pt modelId="{D7666B4E-FE99-4A42-A5ED-13E4F2B38253}" type="sibTrans" cxnId="{7470D88F-0D82-4474-A78E-B22A6D966CC3}">
      <dgm:prSet/>
      <dgm:spPr/>
      <dgm:t>
        <a:bodyPr/>
        <a:lstStyle/>
        <a:p>
          <a:endParaRPr lang="en-GB"/>
        </a:p>
      </dgm:t>
    </dgm:pt>
    <dgm:pt modelId="{5E8EA47C-4359-48FF-8578-69A040ABA5E9}">
      <dgm:prSet phldrT="[Text]" custT="1"/>
      <dgm:spPr/>
      <dgm:t>
        <a:bodyPr/>
        <a:lstStyle/>
        <a:p>
          <a:pPr algn="ctr"/>
          <a:r>
            <a:rPr lang="en-GB" sz="1200"/>
            <a:t>Long-term residence or citizenship</a:t>
          </a:r>
        </a:p>
      </dgm:t>
    </dgm:pt>
    <dgm:pt modelId="{972B9A89-45E2-4B66-A976-E459CCB851B9}" type="parTrans" cxnId="{7A6C7ED1-13A1-4D4A-91A8-C805CC531EF1}">
      <dgm:prSet/>
      <dgm:spPr/>
      <dgm:t>
        <a:bodyPr/>
        <a:lstStyle/>
        <a:p>
          <a:endParaRPr lang="en-GB"/>
        </a:p>
      </dgm:t>
    </dgm:pt>
    <dgm:pt modelId="{749EFDB1-1FBD-410E-B379-64F53740444D}" type="sibTrans" cxnId="{7A6C7ED1-13A1-4D4A-91A8-C805CC531EF1}">
      <dgm:prSet/>
      <dgm:spPr/>
      <dgm:t>
        <a:bodyPr/>
        <a:lstStyle/>
        <a:p>
          <a:endParaRPr lang="en-GB"/>
        </a:p>
      </dgm:t>
    </dgm:pt>
    <dgm:pt modelId="{B9DB3C10-AC9B-4D33-B634-FA53A78F205F}">
      <dgm:prSet phldrT="[Text]" custT="1"/>
      <dgm:spPr/>
      <dgm:t>
        <a:bodyPr/>
        <a:lstStyle/>
        <a:p>
          <a:pPr algn="l"/>
          <a:r>
            <a:rPr lang="en-GB" sz="1000"/>
            <a:t>Stay visa (3 months) OR</a:t>
          </a:r>
        </a:p>
      </dgm:t>
    </dgm:pt>
    <dgm:pt modelId="{B39DA18E-2F77-41F8-8EB9-7D92F7211594}" type="parTrans" cxnId="{2BF3ABA5-43E5-492B-BD7B-2401288F7688}">
      <dgm:prSet/>
      <dgm:spPr/>
      <dgm:t>
        <a:bodyPr/>
        <a:lstStyle/>
        <a:p>
          <a:endParaRPr lang="en-GB"/>
        </a:p>
      </dgm:t>
    </dgm:pt>
    <dgm:pt modelId="{824199E1-E9F9-4331-955B-8DA6283F8F6F}" type="sibTrans" cxnId="{2BF3ABA5-43E5-492B-BD7B-2401288F7688}">
      <dgm:prSet/>
      <dgm:spPr/>
      <dgm:t>
        <a:bodyPr/>
        <a:lstStyle/>
        <a:p>
          <a:endParaRPr lang="en-GB"/>
        </a:p>
      </dgm:t>
    </dgm:pt>
    <dgm:pt modelId="{6A895DCA-3359-4682-A22E-7B0491DF4089}">
      <dgm:prSet phldrT="[Text]" custT="1"/>
      <dgm:spPr/>
      <dgm:t>
        <a:bodyPr/>
        <a:lstStyle/>
        <a:p>
          <a:pPr algn="l"/>
          <a:r>
            <a:rPr lang="en-GB" sz="1000"/>
            <a:t>Residence visa for investors (1 year)</a:t>
          </a:r>
        </a:p>
      </dgm:t>
    </dgm:pt>
    <dgm:pt modelId="{0CA50F11-F75F-422E-BE4D-CC56D2B02564}" type="parTrans" cxnId="{8E1BEAE4-86FD-49D4-875F-851D32F820C6}">
      <dgm:prSet/>
      <dgm:spPr/>
      <dgm:t>
        <a:bodyPr/>
        <a:lstStyle/>
        <a:p>
          <a:endParaRPr lang="en-GB"/>
        </a:p>
      </dgm:t>
    </dgm:pt>
    <dgm:pt modelId="{ADB82E5F-3CCB-4F06-9F23-FFF244B74A10}" type="sibTrans" cxnId="{8E1BEAE4-86FD-49D4-875F-851D32F820C6}">
      <dgm:prSet/>
      <dgm:spPr/>
      <dgm:t>
        <a:bodyPr/>
        <a:lstStyle/>
        <a:p>
          <a:endParaRPr lang="en-GB"/>
        </a:p>
      </dgm:t>
    </dgm:pt>
    <dgm:pt modelId="{2B62A821-75D3-41DB-ABA2-2E28BE6392B9}">
      <dgm:prSet phldrT="[Text]"/>
      <dgm:spPr/>
      <dgm:t>
        <a:bodyPr/>
        <a:lstStyle/>
        <a:p>
          <a:pPr algn="l"/>
          <a:r>
            <a:rPr lang="en-GB" sz="600"/>
            <a:t>Long-term residence: authorisation+Foreigner Identification Card</a:t>
          </a:r>
        </a:p>
      </dgm:t>
    </dgm:pt>
    <dgm:pt modelId="{DE790B09-DA77-4697-8672-835A8C640FC6}" type="parTrans" cxnId="{72CA1D51-B34C-4EF4-AEDC-2A40E83D15A6}">
      <dgm:prSet/>
      <dgm:spPr/>
      <dgm:t>
        <a:bodyPr/>
        <a:lstStyle/>
        <a:p>
          <a:endParaRPr lang="en-GB"/>
        </a:p>
      </dgm:t>
    </dgm:pt>
    <dgm:pt modelId="{2FEB5118-FCFC-404E-86D6-08E912331C13}" type="sibTrans" cxnId="{72CA1D51-B34C-4EF4-AEDC-2A40E83D15A6}">
      <dgm:prSet/>
      <dgm:spPr/>
      <dgm:t>
        <a:bodyPr/>
        <a:lstStyle/>
        <a:p>
          <a:endParaRPr lang="en-GB"/>
        </a:p>
      </dgm:t>
    </dgm:pt>
    <dgm:pt modelId="{35893A3D-167B-458C-A527-8E685968C9DB}">
      <dgm:prSet phldrT="[Text]"/>
      <dgm:spPr/>
      <dgm:t>
        <a:bodyPr/>
        <a:lstStyle/>
        <a:p>
          <a:pPr algn="l"/>
          <a:r>
            <a:rPr lang="en-GB" sz="600"/>
            <a:t>Citizenship (Section IV)</a:t>
          </a:r>
        </a:p>
      </dgm:t>
    </dgm:pt>
    <dgm:pt modelId="{73DC532B-906A-40FA-A015-57E1E18AF682}" type="parTrans" cxnId="{DA2DBC94-7A1C-4F25-BEDD-4B1D68B4CD74}">
      <dgm:prSet/>
      <dgm:spPr/>
      <dgm:t>
        <a:bodyPr/>
        <a:lstStyle/>
        <a:p>
          <a:endParaRPr lang="en-GB"/>
        </a:p>
      </dgm:t>
    </dgm:pt>
    <dgm:pt modelId="{22E5A256-93DF-4B0A-A050-6425D4FA0F03}" type="sibTrans" cxnId="{DA2DBC94-7A1C-4F25-BEDD-4B1D68B4CD74}">
      <dgm:prSet/>
      <dgm:spPr/>
      <dgm:t>
        <a:bodyPr/>
        <a:lstStyle/>
        <a:p>
          <a:endParaRPr lang="en-GB"/>
        </a:p>
      </dgm:t>
    </dgm:pt>
    <dgm:pt modelId="{1E85B923-4DC5-4B84-A4B7-C6479367603C}">
      <dgm:prSet phldrT="[Text]"/>
      <dgm:spPr/>
      <dgm:t>
        <a:bodyPr/>
        <a:lstStyle/>
        <a:p>
          <a:pPr algn="l"/>
          <a:r>
            <a:rPr lang="en-GB" sz="600"/>
            <a:t> By residence</a:t>
          </a:r>
        </a:p>
      </dgm:t>
    </dgm:pt>
    <dgm:pt modelId="{37C22092-A284-409D-A712-067990D61554}" type="parTrans" cxnId="{6839552A-1E04-4A36-8079-93C25579857D}">
      <dgm:prSet/>
      <dgm:spPr/>
      <dgm:t>
        <a:bodyPr/>
        <a:lstStyle/>
        <a:p>
          <a:endParaRPr lang="en-US"/>
        </a:p>
      </dgm:t>
    </dgm:pt>
    <dgm:pt modelId="{949EA35E-DE84-4C04-8EF7-15D7C629F255}" type="sibTrans" cxnId="{6839552A-1E04-4A36-8079-93C25579857D}">
      <dgm:prSet/>
      <dgm:spPr/>
      <dgm:t>
        <a:bodyPr/>
        <a:lstStyle/>
        <a:p>
          <a:endParaRPr lang="en-US"/>
        </a:p>
      </dgm:t>
    </dgm:pt>
    <dgm:pt modelId="{6D8ECCE2-550F-46C1-AF76-AACFB5720F66}">
      <dgm:prSet phldrT="[Text]"/>
      <dgm:spPr/>
      <dgm:t>
        <a:bodyPr/>
        <a:lstStyle/>
        <a:p>
          <a:pPr algn="l"/>
          <a:r>
            <a:rPr lang="en-GB" sz="600"/>
            <a:t>By naturalisation card</a:t>
          </a:r>
        </a:p>
      </dgm:t>
    </dgm:pt>
    <dgm:pt modelId="{0D4192DB-1390-4414-9B84-947004EF0555}" type="parTrans" cxnId="{3D808919-D813-4E74-B82E-CC529895CE94}">
      <dgm:prSet/>
      <dgm:spPr/>
      <dgm:t>
        <a:bodyPr/>
        <a:lstStyle/>
        <a:p>
          <a:endParaRPr lang="en-US"/>
        </a:p>
      </dgm:t>
    </dgm:pt>
    <dgm:pt modelId="{0993A39D-1039-49B9-BF58-099CA996069D}" type="sibTrans" cxnId="{3D808919-D813-4E74-B82E-CC529895CE94}">
      <dgm:prSet/>
      <dgm:spPr/>
      <dgm:t>
        <a:bodyPr/>
        <a:lstStyle/>
        <a:p>
          <a:endParaRPr lang="en-US"/>
        </a:p>
      </dgm:t>
    </dgm:pt>
    <dgm:pt modelId="{AAF9438B-34C4-4C30-8895-3293E1EA847A}">
      <dgm:prSet phldrT="[Text]"/>
      <dgm:spPr/>
      <dgm:t>
        <a:bodyPr/>
        <a:lstStyle/>
        <a:p>
          <a:pPr algn="l"/>
          <a:endParaRPr lang="en-GB" sz="600"/>
        </a:p>
        <a:p>
          <a:pPr algn="l"/>
          <a:endParaRPr lang="en-GB" sz="600"/>
        </a:p>
      </dgm:t>
    </dgm:pt>
    <dgm:pt modelId="{2A96E7B7-31A8-46AB-B0BC-3557CB0E3080}" type="parTrans" cxnId="{D1957F1C-C85D-4249-A65F-F94F008E40D0}">
      <dgm:prSet/>
      <dgm:spPr/>
      <dgm:t>
        <a:bodyPr/>
        <a:lstStyle/>
        <a:p>
          <a:endParaRPr lang="en-US"/>
        </a:p>
      </dgm:t>
    </dgm:pt>
    <dgm:pt modelId="{55F332E8-04E8-4A90-8D04-72C8F960FC60}" type="sibTrans" cxnId="{D1957F1C-C85D-4249-A65F-F94F008E40D0}">
      <dgm:prSet/>
      <dgm:spPr/>
      <dgm:t>
        <a:bodyPr/>
        <a:lstStyle/>
        <a:p>
          <a:endParaRPr lang="en-US"/>
        </a:p>
      </dgm:t>
    </dgm:pt>
    <dgm:pt modelId="{BEC5FCE9-A6C6-4F99-AEB0-41F56441365D}" type="pres">
      <dgm:prSet presAssocID="{9832DB88-9660-42DE-9A40-69DA2A2091BE}" presName="Name0" presStyleCnt="0">
        <dgm:presLayoutVars>
          <dgm:dir/>
          <dgm:resizeHandles val="exact"/>
        </dgm:presLayoutVars>
      </dgm:prSet>
      <dgm:spPr/>
    </dgm:pt>
    <dgm:pt modelId="{6088BA11-F1C1-42B4-8952-88EE6949534D}" type="pres">
      <dgm:prSet presAssocID="{3B52DD24-F01C-448D-89F8-C49922947187}" presName="node" presStyleLbl="node1" presStyleIdx="0" presStyleCnt="3" custScaleX="66418" custScaleY="68618">
        <dgm:presLayoutVars>
          <dgm:bulletEnabled val="1"/>
        </dgm:presLayoutVars>
      </dgm:prSet>
      <dgm:spPr/>
    </dgm:pt>
    <dgm:pt modelId="{EDD7F207-F755-4876-BA63-B0C39F053C57}" type="pres">
      <dgm:prSet presAssocID="{45F4F4A7-F0F8-4DFF-9CDA-880BFDDA7E9B}" presName="sibTrans" presStyleLbl="sibTrans2D1" presStyleIdx="0" presStyleCnt="2"/>
      <dgm:spPr/>
    </dgm:pt>
    <dgm:pt modelId="{F8F9B7BB-17E0-4DAF-945B-3E5581545244}" type="pres">
      <dgm:prSet presAssocID="{45F4F4A7-F0F8-4DFF-9CDA-880BFDDA7E9B}" presName="connectorText" presStyleLbl="sibTrans2D1" presStyleIdx="0" presStyleCnt="2"/>
      <dgm:spPr/>
    </dgm:pt>
    <dgm:pt modelId="{85C19CC8-8567-45D0-9E66-131C6985D5DC}" type="pres">
      <dgm:prSet presAssocID="{12DBB701-4CBB-40C2-BAD3-364F544F34E8}" presName="node" presStyleLbl="node1" presStyleIdx="1" presStyleCnt="3" custScaleX="63124" custScaleY="66998">
        <dgm:presLayoutVars>
          <dgm:bulletEnabled val="1"/>
        </dgm:presLayoutVars>
      </dgm:prSet>
      <dgm:spPr/>
    </dgm:pt>
    <dgm:pt modelId="{F8118108-FDD9-4A43-BD91-DFA263A6954D}" type="pres">
      <dgm:prSet presAssocID="{D7666B4E-FE99-4A42-A5ED-13E4F2B38253}" presName="sibTrans" presStyleLbl="sibTrans2D1" presStyleIdx="1" presStyleCnt="2"/>
      <dgm:spPr/>
    </dgm:pt>
    <dgm:pt modelId="{77D15063-119D-4795-A5C0-9C8441A9C78F}" type="pres">
      <dgm:prSet presAssocID="{D7666B4E-FE99-4A42-A5ED-13E4F2B38253}" presName="connectorText" presStyleLbl="sibTrans2D1" presStyleIdx="1" presStyleCnt="2"/>
      <dgm:spPr/>
    </dgm:pt>
    <dgm:pt modelId="{A1EBF056-E4E0-4988-A6A8-9743CA3AE730}" type="pres">
      <dgm:prSet presAssocID="{5E8EA47C-4359-48FF-8578-69A040ABA5E9}" presName="node" presStyleLbl="node1" presStyleIdx="2" presStyleCnt="3" custScaleX="79958" custScaleY="78011">
        <dgm:presLayoutVars>
          <dgm:bulletEnabled val="1"/>
        </dgm:presLayoutVars>
      </dgm:prSet>
      <dgm:spPr/>
    </dgm:pt>
  </dgm:ptLst>
  <dgm:cxnLst>
    <dgm:cxn modelId="{E4DBDBE1-90A8-401B-A533-45BD6D0AE5A2}" type="presOf" srcId="{B9DB3C10-AC9B-4D33-B634-FA53A78F205F}" destId="{6088BA11-F1C1-42B4-8952-88EE6949534D}" srcOrd="0" destOrd="1" presId="urn:microsoft.com/office/officeart/2005/8/layout/process1"/>
    <dgm:cxn modelId="{A6198042-B7DF-4894-8734-F0B2E3DDCF66}" type="presOf" srcId="{9832DB88-9660-42DE-9A40-69DA2A2091BE}" destId="{BEC5FCE9-A6C6-4F99-AEB0-41F56441365D}" srcOrd="0" destOrd="0" presId="urn:microsoft.com/office/officeart/2005/8/layout/process1"/>
    <dgm:cxn modelId="{6E451C10-D91B-435A-8FE8-7FA29AFDBF18}" type="presOf" srcId="{3B52DD24-F01C-448D-89F8-C49922947187}" destId="{6088BA11-F1C1-42B4-8952-88EE6949534D}" srcOrd="0" destOrd="0" presId="urn:microsoft.com/office/officeart/2005/8/layout/process1"/>
    <dgm:cxn modelId="{7470D88F-0D82-4474-A78E-B22A6D966CC3}" srcId="{9832DB88-9660-42DE-9A40-69DA2A2091BE}" destId="{12DBB701-4CBB-40C2-BAD3-364F544F34E8}" srcOrd="1" destOrd="0" parTransId="{F5E28BFB-BA66-4DE4-8023-AF8759F97FB3}" sibTransId="{D7666B4E-FE99-4A42-A5ED-13E4F2B38253}"/>
    <dgm:cxn modelId="{72CA1D51-B34C-4EF4-AEDC-2A40E83D15A6}" srcId="{5E8EA47C-4359-48FF-8578-69A040ABA5E9}" destId="{2B62A821-75D3-41DB-ABA2-2E28BE6392B9}" srcOrd="0" destOrd="0" parTransId="{DE790B09-DA77-4697-8672-835A8C640FC6}" sibTransId="{2FEB5118-FCFC-404E-86D6-08E912331C13}"/>
    <dgm:cxn modelId="{12831539-8733-4FCC-8E42-0AD5EB4FEE95}" type="presOf" srcId="{D7666B4E-FE99-4A42-A5ED-13E4F2B38253}" destId="{77D15063-119D-4795-A5C0-9C8441A9C78F}" srcOrd="1" destOrd="0" presId="urn:microsoft.com/office/officeart/2005/8/layout/process1"/>
    <dgm:cxn modelId="{B925336F-DE39-4AC3-8EBF-51498B603CB4}" type="presOf" srcId="{1E85B923-4DC5-4B84-A4B7-C6479367603C}" destId="{A1EBF056-E4E0-4988-A6A8-9743CA3AE730}" srcOrd="0" destOrd="3" presId="urn:microsoft.com/office/officeart/2005/8/layout/process1"/>
    <dgm:cxn modelId="{AFB87CC0-9A3A-4F77-8A54-15600F22A164}" type="presOf" srcId="{45F4F4A7-F0F8-4DFF-9CDA-880BFDDA7E9B}" destId="{F8F9B7BB-17E0-4DAF-945B-3E5581545244}" srcOrd="1" destOrd="0" presId="urn:microsoft.com/office/officeart/2005/8/layout/process1"/>
    <dgm:cxn modelId="{3883C069-E374-4EB3-BBBE-FF9062FE6A94}" type="presOf" srcId="{6D8ECCE2-550F-46C1-AF76-AACFB5720F66}" destId="{A1EBF056-E4E0-4988-A6A8-9743CA3AE730}" srcOrd="0" destOrd="4" presId="urn:microsoft.com/office/officeart/2005/8/layout/process1"/>
    <dgm:cxn modelId="{DA2DBC94-7A1C-4F25-BEDD-4B1D68B4CD74}" srcId="{5E8EA47C-4359-48FF-8578-69A040ABA5E9}" destId="{35893A3D-167B-458C-A527-8E685968C9DB}" srcOrd="1" destOrd="0" parTransId="{73DC532B-906A-40FA-A015-57E1E18AF682}" sibTransId="{22E5A256-93DF-4B0A-A050-6425D4FA0F03}"/>
    <dgm:cxn modelId="{5D8956D3-57FF-4789-8A38-0FB663A53BB5}" type="presOf" srcId="{D7666B4E-FE99-4A42-A5ED-13E4F2B38253}" destId="{F8118108-FDD9-4A43-BD91-DFA263A6954D}" srcOrd="0" destOrd="0" presId="urn:microsoft.com/office/officeart/2005/8/layout/process1"/>
    <dgm:cxn modelId="{7A6C7ED1-13A1-4D4A-91A8-C805CC531EF1}" srcId="{9832DB88-9660-42DE-9A40-69DA2A2091BE}" destId="{5E8EA47C-4359-48FF-8578-69A040ABA5E9}" srcOrd="2" destOrd="0" parTransId="{972B9A89-45E2-4B66-A976-E459CCB851B9}" sibTransId="{749EFDB1-1FBD-410E-B379-64F53740444D}"/>
    <dgm:cxn modelId="{43D66448-0912-4620-A41A-5B3941890FD2}" srcId="{9832DB88-9660-42DE-9A40-69DA2A2091BE}" destId="{3B52DD24-F01C-448D-89F8-C49922947187}" srcOrd="0" destOrd="0" parTransId="{C04702BB-930F-4990-B15F-F2D350CD72FC}" sibTransId="{45F4F4A7-F0F8-4DFF-9CDA-880BFDDA7E9B}"/>
    <dgm:cxn modelId="{11A4E42A-4D88-49ED-924A-8088D393908C}" type="presOf" srcId="{35893A3D-167B-458C-A527-8E685968C9DB}" destId="{A1EBF056-E4E0-4988-A6A8-9743CA3AE730}" srcOrd="0" destOrd="2" presId="urn:microsoft.com/office/officeart/2005/8/layout/process1"/>
    <dgm:cxn modelId="{2BF3ABA5-43E5-492B-BD7B-2401288F7688}" srcId="{3B52DD24-F01C-448D-89F8-C49922947187}" destId="{B9DB3C10-AC9B-4D33-B634-FA53A78F205F}" srcOrd="0" destOrd="0" parTransId="{B39DA18E-2F77-41F8-8EB9-7D92F7211594}" sibTransId="{824199E1-E9F9-4331-955B-8DA6283F8F6F}"/>
    <dgm:cxn modelId="{00D067AA-5BB1-47A4-AE3A-73D82435BC47}" type="presOf" srcId="{2B62A821-75D3-41DB-ABA2-2E28BE6392B9}" destId="{A1EBF056-E4E0-4988-A6A8-9743CA3AE730}" srcOrd="0" destOrd="1" presId="urn:microsoft.com/office/officeart/2005/8/layout/process1"/>
    <dgm:cxn modelId="{8E1BEAE4-86FD-49D4-875F-851D32F820C6}" srcId="{3B52DD24-F01C-448D-89F8-C49922947187}" destId="{6A895DCA-3359-4682-A22E-7B0491DF4089}" srcOrd="1" destOrd="0" parTransId="{0CA50F11-F75F-422E-BE4D-CC56D2B02564}" sibTransId="{ADB82E5F-3CCB-4F06-9F23-FFF244B74A10}"/>
    <dgm:cxn modelId="{BF97F15F-0F0B-4E77-B1CC-B4D399379656}" type="presOf" srcId="{6A895DCA-3359-4682-A22E-7B0491DF4089}" destId="{6088BA11-F1C1-42B4-8952-88EE6949534D}" srcOrd="0" destOrd="2" presId="urn:microsoft.com/office/officeart/2005/8/layout/process1"/>
    <dgm:cxn modelId="{4DC4B6B1-A56C-4411-9DC7-E6F02D9A0FD3}" type="presOf" srcId="{12DBB701-4CBB-40C2-BAD3-364F544F34E8}" destId="{85C19CC8-8567-45D0-9E66-131C6985D5DC}" srcOrd="0" destOrd="0" presId="urn:microsoft.com/office/officeart/2005/8/layout/process1"/>
    <dgm:cxn modelId="{D1957F1C-C85D-4249-A65F-F94F008E40D0}" srcId="{5E8EA47C-4359-48FF-8578-69A040ABA5E9}" destId="{AAF9438B-34C4-4C30-8895-3293E1EA847A}" srcOrd="2" destOrd="0" parTransId="{2A96E7B7-31A8-46AB-B0BC-3557CB0E3080}" sibTransId="{55F332E8-04E8-4A90-8D04-72C8F960FC60}"/>
    <dgm:cxn modelId="{3D808919-D813-4E74-B82E-CC529895CE94}" srcId="{35893A3D-167B-458C-A527-8E685968C9DB}" destId="{6D8ECCE2-550F-46C1-AF76-AACFB5720F66}" srcOrd="1" destOrd="0" parTransId="{0D4192DB-1390-4414-9B84-947004EF0555}" sibTransId="{0993A39D-1039-49B9-BF58-099CA996069D}"/>
    <dgm:cxn modelId="{171CD410-EF12-48C8-90AE-32F50457ECB3}" type="presOf" srcId="{AAF9438B-34C4-4C30-8895-3293E1EA847A}" destId="{A1EBF056-E4E0-4988-A6A8-9743CA3AE730}" srcOrd="0" destOrd="5" presId="urn:microsoft.com/office/officeart/2005/8/layout/process1"/>
    <dgm:cxn modelId="{3E738073-086F-4D40-AA68-17502D279CE2}" type="presOf" srcId="{5E8EA47C-4359-48FF-8578-69A040ABA5E9}" destId="{A1EBF056-E4E0-4988-A6A8-9743CA3AE730}" srcOrd="0" destOrd="0" presId="urn:microsoft.com/office/officeart/2005/8/layout/process1"/>
    <dgm:cxn modelId="{97C785A0-1AC2-4A3B-B790-21C4ABBB7B11}" type="presOf" srcId="{45F4F4A7-F0F8-4DFF-9CDA-880BFDDA7E9B}" destId="{EDD7F207-F755-4876-BA63-B0C39F053C57}" srcOrd="0" destOrd="0" presId="urn:microsoft.com/office/officeart/2005/8/layout/process1"/>
    <dgm:cxn modelId="{6839552A-1E04-4A36-8079-93C25579857D}" srcId="{35893A3D-167B-458C-A527-8E685968C9DB}" destId="{1E85B923-4DC5-4B84-A4B7-C6479367603C}" srcOrd="0" destOrd="0" parTransId="{37C22092-A284-409D-A712-067990D61554}" sibTransId="{949EA35E-DE84-4C04-8EF7-15D7C629F255}"/>
    <dgm:cxn modelId="{5B4E2395-EB71-48D4-9ECE-CF469A771934}" type="presParOf" srcId="{BEC5FCE9-A6C6-4F99-AEB0-41F56441365D}" destId="{6088BA11-F1C1-42B4-8952-88EE6949534D}" srcOrd="0" destOrd="0" presId="urn:microsoft.com/office/officeart/2005/8/layout/process1"/>
    <dgm:cxn modelId="{4B1763A3-4D87-47FB-A76E-789C05897E06}" type="presParOf" srcId="{BEC5FCE9-A6C6-4F99-AEB0-41F56441365D}" destId="{EDD7F207-F755-4876-BA63-B0C39F053C57}" srcOrd="1" destOrd="0" presId="urn:microsoft.com/office/officeart/2005/8/layout/process1"/>
    <dgm:cxn modelId="{990E1C58-07B8-4E92-AC90-439CB5F29274}" type="presParOf" srcId="{EDD7F207-F755-4876-BA63-B0C39F053C57}" destId="{F8F9B7BB-17E0-4DAF-945B-3E5581545244}" srcOrd="0" destOrd="0" presId="urn:microsoft.com/office/officeart/2005/8/layout/process1"/>
    <dgm:cxn modelId="{F0C08487-D713-4BBA-A5F5-343E1E824EB8}" type="presParOf" srcId="{BEC5FCE9-A6C6-4F99-AEB0-41F56441365D}" destId="{85C19CC8-8567-45D0-9E66-131C6985D5DC}" srcOrd="2" destOrd="0" presId="urn:microsoft.com/office/officeart/2005/8/layout/process1"/>
    <dgm:cxn modelId="{960DDCFB-7295-4B2E-80DE-BBDC405CF223}" type="presParOf" srcId="{BEC5FCE9-A6C6-4F99-AEB0-41F56441365D}" destId="{F8118108-FDD9-4A43-BD91-DFA263A6954D}" srcOrd="3" destOrd="0" presId="urn:microsoft.com/office/officeart/2005/8/layout/process1"/>
    <dgm:cxn modelId="{A4253415-517B-4977-A33C-52300E2B52BB}" type="presParOf" srcId="{F8118108-FDD9-4A43-BD91-DFA263A6954D}" destId="{77D15063-119D-4795-A5C0-9C8441A9C78F}" srcOrd="0" destOrd="0" presId="urn:microsoft.com/office/officeart/2005/8/layout/process1"/>
    <dgm:cxn modelId="{EF06977B-DED3-41E0-9CB4-EDBEF1D35240}" type="presParOf" srcId="{BEC5FCE9-A6C6-4F99-AEB0-41F56441365D}" destId="{A1EBF056-E4E0-4988-A6A8-9743CA3AE730}" srcOrd="4" destOrd="0" presId="urn:microsoft.com/office/officeart/2005/8/layout/process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88BA11-F1C1-42B4-8952-88EE6949534D}">
      <dsp:nvSpPr>
        <dsp:cNvPr id="0" name=""/>
        <dsp:cNvSpPr/>
      </dsp:nvSpPr>
      <dsp:spPr>
        <a:xfrm>
          <a:off x="4984" y="220143"/>
          <a:ext cx="1446100" cy="89383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ctr" defTabSz="622300">
            <a:lnSpc>
              <a:spcPct val="90000"/>
            </a:lnSpc>
            <a:spcBef>
              <a:spcPct val="0"/>
            </a:spcBef>
            <a:spcAft>
              <a:spcPct val="35000"/>
            </a:spcAft>
            <a:buNone/>
          </a:pPr>
          <a:r>
            <a:rPr lang="en-GB" sz="1400" kern="1200"/>
            <a:t>Entry</a:t>
          </a:r>
        </a:p>
        <a:p>
          <a:pPr marL="57150" lvl="1" indent="-57150" algn="l" defTabSz="444500">
            <a:lnSpc>
              <a:spcPct val="90000"/>
            </a:lnSpc>
            <a:spcBef>
              <a:spcPct val="0"/>
            </a:spcBef>
            <a:spcAft>
              <a:spcPct val="15000"/>
            </a:spcAft>
            <a:buChar char="•"/>
          </a:pPr>
          <a:r>
            <a:rPr lang="en-GB" sz="1000" kern="1200"/>
            <a:t>Stay visa (3 months) OR</a:t>
          </a:r>
        </a:p>
        <a:p>
          <a:pPr marL="57150" lvl="1" indent="-57150" algn="l" defTabSz="444500">
            <a:lnSpc>
              <a:spcPct val="90000"/>
            </a:lnSpc>
            <a:spcBef>
              <a:spcPct val="0"/>
            </a:spcBef>
            <a:spcAft>
              <a:spcPct val="15000"/>
            </a:spcAft>
            <a:buChar char="•"/>
          </a:pPr>
          <a:r>
            <a:rPr lang="en-GB" sz="1000" kern="1200"/>
            <a:t>Residence visa for investors (1 year)</a:t>
          </a:r>
        </a:p>
      </dsp:txBody>
      <dsp:txXfrm>
        <a:off x="31164" y="246323"/>
        <a:ext cx="1393740" cy="841477"/>
      </dsp:txXfrm>
    </dsp:sp>
    <dsp:sp modelId="{EDD7F207-F755-4876-BA63-B0C39F053C57}">
      <dsp:nvSpPr>
        <dsp:cNvPr id="0" name=""/>
        <dsp:cNvSpPr/>
      </dsp:nvSpPr>
      <dsp:spPr>
        <a:xfrm>
          <a:off x="1668811" y="397080"/>
          <a:ext cx="461581" cy="53996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022350">
            <a:lnSpc>
              <a:spcPct val="90000"/>
            </a:lnSpc>
            <a:spcBef>
              <a:spcPct val="0"/>
            </a:spcBef>
            <a:spcAft>
              <a:spcPct val="35000"/>
            </a:spcAft>
            <a:buNone/>
          </a:pPr>
          <a:endParaRPr lang="en-GB" sz="2300" kern="1200"/>
        </a:p>
      </dsp:txBody>
      <dsp:txXfrm>
        <a:off x="1668811" y="505073"/>
        <a:ext cx="323107" cy="323977"/>
      </dsp:txXfrm>
    </dsp:sp>
    <dsp:sp modelId="{85C19CC8-8567-45D0-9E66-131C6985D5DC}">
      <dsp:nvSpPr>
        <dsp:cNvPr id="0" name=""/>
        <dsp:cNvSpPr/>
      </dsp:nvSpPr>
      <dsp:spPr>
        <a:xfrm>
          <a:off x="2321993" y="230695"/>
          <a:ext cx="1374380" cy="87273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GB" sz="1400" kern="1200"/>
            <a:t>Residence</a:t>
          </a:r>
        </a:p>
        <a:p>
          <a:pPr marL="0" lvl="0" indent="0" algn="ctr" defTabSz="622300">
            <a:lnSpc>
              <a:spcPct val="90000"/>
            </a:lnSpc>
            <a:spcBef>
              <a:spcPct val="0"/>
            </a:spcBef>
            <a:spcAft>
              <a:spcPct val="35000"/>
            </a:spcAft>
            <a:buNone/>
          </a:pPr>
          <a:r>
            <a:rPr lang="en-GB" sz="1100" kern="1200"/>
            <a:t>Residence authorisation for investors</a:t>
          </a:r>
        </a:p>
      </dsp:txBody>
      <dsp:txXfrm>
        <a:off x="2347555" y="256257"/>
        <a:ext cx="1323256" cy="821610"/>
      </dsp:txXfrm>
    </dsp:sp>
    <dsp:sp modelId="{F8118108-FDD9-4A43-BD91-DFA263A6954D}">
      <dsp:nvSpPr>
        <dsp:cNvPr id="0" name=""/>
        <dsp:cNvSpPr/>
      </dsp:nvSpPr>
      <dsp:spPr>
        <a:xfrm>
          <a:off x="3914101" y="397080"/>
          <a:ext cx="461581" cy="53996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022350">
            <a:lnSpc>
              <a:spcPct val="90000"/>
            </a:lnSpc>
            <a:spcBef>
              <a:spcPct val="0"/>
            </a:spcBef>
            <a:spcAft>
              <a:spcPct val="35000"/>
            </a:spcAft>
            <a:buNone/>
          </a:pPr>
          <a:endParaRPr lang="en-GB" sz="2300" kern="1200"/>
        </a:p>
      </dsp:txBody>
      <dsp:txXfrm>
        <a:off x="3914101" y="505073"/>
        <a:ext cx="323107" cy="323977"/>
      </dsp:txXfrm>
    </dsp:sp>
    <dsp:sp modelId="{A1EBF056-E4E0-4988-A6A8-9743CA3AE730}">
      <dsp:nvSpPr>
        <dsp:cNvPr id="0" name=""/>
        <dsp:cNvSpPr/>
      </dsp:nvSpPr>
      <dsp:spPr>
        <a:xfrm>
          <a:off x="4567282" y="158966"/>
          <a:ext cx="1740902" cy="101619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marL="0" lvl="0" indent="0" algn="ctr" defTabSz="533400">
            <a:lnSpc>
              <a:spcPct val="90000"/>
            </a:lnSpc>
            <a:spcBef>
              <a:spcPct val="0"/>
            </a:spcBef>
            <a:spcAft>
              <a:spcPct val="35000"/>
            </a:spcAft>
            <a:buNone/>
          </a:pPr>
          <a:r>
            <a:rPr lang="en-GB" sz="1200" kern="1200"/>
            <a:t>Long-term residence or citizenship</a:t>
          </a:r>
        </a:p>
        <a:p>
          <a:pPr marL="57150" lvl="1" indent="-57150" algn="l" defTabSz="266700">
            <a:lnSpc>
              <a:spcPct val="90000"/>
            </a:lnSpc>
            <a:spcBef>
              <a:spcPct val="0"/>
            </a:spcBef>
            <a:spcAft>
              <a:spcPct val="15000"/>
            </a:spcAft>
            <a:buChar char="•"/>
          </a:pPr>
          <a:r>
            <a:rPr lang="en-GB" sz="600" kern="1200"/>
            <a:t>Long-term residence: authorisation+Foreigner Identification Card</a:t>
          </a:r>
        </a:p>
        <a:p>
          <a:pPr marL="57150" lvl="1" indent="-57150" algn="l" defTabSz="266700">
            <a:lnSpc>
              <a:spcPct val="90000"/>
            </a:lnSpc>
            <a:spcBef>
              <a:spcPct val="0"/>
            </a:spcBef>
            <a:spcAft>
              <a:spcPct val="15000"/>
            </a:spcAft>
            <a:buChar char="•"/>
          </a:pPr>
          <a:r>
            <a:rPr lang="en-GB" sz="600" kern="1200"/>
            <a:t>Citizenship (Section IV)</a:t>
          </a:r>
        </a:p>
        <a:p>
          <a:pPr marL="114300" lvl="2" indent="-57150" algn="l" defTabSz="266700">
            <a:lnSpc>
              <a:spcPct val="90000"/>
            </a:lnSpc>
            <a:spcBef>
              <a:spcPct val="0"/>
            </a:spcBef>
            <a:spcAft>
              <a:spcPct val="15000"/>
            </a:spcAft>
            <a:buChar char="•"/>
          </a:pPr>
          <a:r>
            <a:rPr lang="en-GB" sz="600" kern="1200"/>
            <a:t> By residence</a:t>
          </a:r>
        </a:p>
        <a:p>
          <a:pPr marL="114300" lvl="2" indent="-57150" algn="l" defTabSz="266700">
            <a:lnSpc>
              <a:spcPct val="90000"/>
            </a:lnSpc>
            <a:spcBef>
              <a:spcPct val="0"/>
            </a:spcBef>
            <a:spcAft>
              <a:spcPct val="15000"/>
            </a:spcAft>
            <a:buChar char="•"/>
          </a:pPr>
          <a:r>
            <a:rPr lang="en-GB" sz="600" kern="1200"/>
            <a:t>By naturalisation card</a:t>
          </a:r>
        </a:p>
        <a:p>
          <a:pPr marL="57150" lvl="1" indent="-57150" algn="l" defTabSz="266700">
            <a:lnSpc>
              <a:spcPct val="90000"/>
            </a:lnSpc>
            <a:spcBef>
              <a:spcPct val="0"/>
            </a:spcBef>
            <a:spcAft>
              <a:spcPct val="15000"/>
            </a:spcAft>
            <a:buChar char="•"/>
          </a:pPr>
          <a:endParaRPr lang="en-GB" sz="600" kern="1200"/>
        </a:p>
        <a:p>
          <a:pPr marL="57150" lvl="1" indent="-57150" algn="l" defTabSz="266700">
            <a:lnSpc>
              <a:spcPct val="90000"/>
            </a:lnSpc>
            <a:spcBef>
              <a:spcPct val="0"/>
            </a:spcBef>
            <a:spcAft>
              <a:spcPct val="15000"/>
            </a:spcAft>
            <a:buChar char="•"/>
          </a:pPr>
          <a:endParaRPr lang="en-GB" sz="600" kern="1200"/>
        </a:p>
      </dsp:txBody>
      <dsp:txXfrm>
        <a:off x="4597045" y="188729"/>
        <a:ext cx="1681376" cy="956666"/>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DE9F9D-5609-4972-A204-0821C7FF4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41</Pages>
  <Words>12401</Words>
  <Characters>68206</Characters>
  <Application>Microsoft Office Word</Application>
  <DocSecurity>0</DocSecurity>
  <Lines>568</Lines>
  <Paragraphs>160</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80447</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6</cp:revision>
  <cp:lastPrinted>2018-06-26T14:42:00Z</cp:lastPrinted>
  <dcterms:created xsi:type="dcterms:W3CDTF">2018-08-01T19:27:00Z</dcterms:created>
  <dcterms:modified xsi:type="dcterms:W3CDTF">2018-08-07T10:22:00Z</dcterms:modified>
</cp:coreProperties>
</file>